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FE68D" w14:textId="77777777" w:rsidR="00EE2F58" w:rsidRPr="00A644FA" w:rsidRDefault="00EE2F58" w:rsidP="00EE2F58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 w:rsidRPr="00A644FA">
        <w:rPr>
          <w:rFonts w:asciiTheme="minorHAnsi" w:hAnsiTheme="minorHAnsi" w:cstheme="minorHAnsi"/>
          <w:b/>
          <w:color w:val="000000" w:themeColor="text1"/>
          <w:sz w:val="36"/>
          <w:szCs w:val="36"/>
        </w:rPr>
        <w:t>Technická specifikace poptávaného zařízení</w:t>
      </w:r>
    </w:p>
    <w:p w14:paraId="048C8C10" w14:textId="77777777" w:rsidR="00F15EE2" w:rsidRPr="00A644FA" w:rsidRDefault="00F15EE2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112"/>
        <w:gridCol w:w="1842"/>
        <w:gridCol w:w="1701"/>
        <w:gridCol w:w="1418"/>
        <w:gridCol w:w="1701"/>
      </w:tblGrid>
      <w:tr w:rsidR="00FF5479" w:rsidRPr="00A644FA" w14:paraId="50F90D26" w14:textId="304054DE" w:rsidTr="00FF547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F750" w14:textId="77777777" w:rsidR="00FF5479" w:rsidRPr="00A644FA" w:rsidRDefault="00FF5479" w:rsidP="00AC5B9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bookmarkStart w:id="0" w:name="_Hlk125385724"/>
            <w:r w:rsidRPr="00A644F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Popis zadavatelem stanového technického parametru nabízeného zařízení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860F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Zadavatelem požadovaná min/</w:t>
            </w:r>
            <w:proofErr w:type="spellStart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max</w:t>
            </w:r>
            <w:proofErr w:type="spellEnd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hodnota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F105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Splnění požadované min/</w:t>
            </w:r>
            <w:proofErr w:type="spellStart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max</w:t>
            </w:r>
            <w:proofErr w:type="spellEnd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hodnoty ANO/NE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B86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Skutečná hodnota technického parametru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82A5" w14:textId="4E987626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F5479">
              <w:rPr>
                <w:rFonts w:asciiTheme="minorHAnsi" w:hAnsiTheme="minorHAnsi" w:cstheme="minorHAnsi"/>
                <w:b/>
                <w:color w:val="000000" w:themeColor="text1"/>
              </w:rPr>
              <w:t>Dodavatel uvede dokument a č. strany, kde lze technický parametr ověřit</w:t>
            </w:r>
          </w:p>
        </w:tc>
      </w:tr>
      <w:tr w:rsidR="00FF5479" w:rsidRPr="00A644FA" w14:paraId="587CCA88" w14:textId="5B14BE0B" w:rsidTr="00AC5B9A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D6F1CA" w14:textId="77777777" w:rsidR="00FF5479" w:rsidRDefault="00FF5479" w:rsidP="00FE6776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  <w:p w14:paraId="6906DA27" w14:textId="657DA0F1" w:rsidR="00FF5479" w:rsidRDefault="00B74032" w:rsidP="00B74032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Plně automatizovaná hematologická linka, záložní analyzátor krevních buněk</w:t>
            </w:r>
            <w:r w:rsidR="00BC3BE2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pro Oddělení hematologie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a hematologický analyzátor pro Odběrové centrum</w:t>
            </w:r>
          </w:p>
          <w:p w14:paraId="45CB9E7D" w14:textId="77777777" w:rsidR="00FF5479" w:rsidRDefault="00FF5479" w:rsidP="00FE6776">
            <w:pPr>
              <w:pStyle w:val="Bezmezer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FF5479" w:rsidRPr="00A644FA" w14:paraId="38CA6BBF" w14:textId="2F8BE9DE" w:rsidTr="00AC5B9A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7B5ED" w14:textId="4B985757" w:rsidR="00FF5479" w:rsidRPr="00B74032" w:rsidRDefault="00B74032" w:rsidP="00AC5B9A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0B7403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Plně automatizovaná hematologická linka</w:t>
            </w:r>
          </w:p>
        </w:tc>
      </w:tr>
      <w:tr w:rsidR="00FF1C4B" w:rsidRPr="00A644FA" w14:paraId="654B890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CE25" w14:textId="350F91DA" w:rsidR="00FF1C4B" w:rsidRPr="00B565CE" w:rsidRDefault="00FF1C4B" w:rsidP="00FF1C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Hematologická linka se skládá z analyzátoru krevních obrazů, nátěrového a barvicího systému a modulu pro digitalizaci krevních nátěrů – vše tvoří ucelenou linku propojenou sadou podavačů, které umožňují průchod zkumavek od analýzy parametrů krevního obrazu a buněk po jejich digitalizaci a vyhodnocení řídícím softwarem</w:t>
            </w:r>
          </w:p>
          <w:p w14:paraId="73A8FBC4" w14:textId="77777777" w:rsidR="00FF1C4B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CF8C9C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95200A2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F1706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45328A7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74032" w:rsidRPr="00A644FA" w14:paraId="20B2264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7FF0" w14:textId="60B51F65" w:rsidR="00B74032" w:rsidRDefault="00B74032" w:rsidP="00FE6776">
            <w:pPr>
              <w:jc w:val="both"/>
              <w:rPr>
                <w:rFonts w:asciiTheme="majorHAnsi" w:hAnsiTheme="majorHAnsi" w:cstheme="majorHAnsi"/>
              </w:rPr>
            </w:pPr>
            <w:r w:rsidRPr="00296259">
              <w:rPr>
                <w:rFonts w:asciiTheme="majorHAnsi" w:hAnsiTheme="majorHAnsi" w:cstheme="majorHAnsi"/>
              </w:rPr>
              <w:t>Systém musí tvořit jednu automatickou linku a umožňovat automatický přesun vzorků z analyzátoru krevních buněk do nátěrového a barvícího automatu a do digitální morfologie</w:t>
            </w:r>
            <w:r>
              <w:rPr>
                <w:rFonts w:asciiTheme="majorHAnsi" w:hAnsiTheme="majorHAnsi" w:cstheme="majorHAnsi"/>
              </w:rPr>
              <w:t xml:space="preserve"> a musí umožňovat jeho vyhodnocení na základě nastavených pravidel pomocí řídícího SW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CA14B1" w14:textId="77777777" w:rsidR="00B74032" w:rsidRPr="00A644FA" w:rsidRDefault="00B74032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88C9D4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B3A9B4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821025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74032" w:rsidRPr="00A644FA" w14:paraId="21804521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C2E" w14:textId="50E8D0B0" w:rsidR="00B74032" w:rsidRPr="00296259" w:rsidRDefault="00B74032" w:rsidP="00FE67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SW je individuálně přizpůsoben pravidlům </w:t>
            </w:r>
            <w:r w:rsidRPr="00665A60">
              <w:rPr>
                <w:rFonts w:asciiTheme="majorHAnsi" w:hAnsiTheme="majorHAnsi" w:cstheme="majorHAnsi"/>
              </w:rPr>
              <w:t>(SOP)</w:t>
            </w:r>
            <w:r>
              <w:rPr>
                <w:rFonts w:asciiTheme="majorHAnsi" w:hAnsiTheme="majorHAnsi" w:cstheme="majorHAnsi"/>
              </w:rPr>
              <w:t xml:space="preserve"> laboratoře na míru před instalací zařízení na hematologické laboratoři OHKB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389F34" w14:textId="77777777" w:rsidR="00B74032" w:rsidRPr="00A644FA" w:rsidRDefault="00B74032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E40541A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E7247E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26FAE58" w14:textId="77777777" w:rsidR="00B74032" w:rsidRPr="00A644FA" w:rsidRDefault="00B7403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91EA9" w:rsidRPr="00A644FA" w14:paraId="45528984" w14:textId="77777777" w:rsidTr="000461AD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15C4" w14:textId="74FCA94A" w:rsidR="00091EA9" w:rsidRDefault="00091EA9" w:rsidP="00FE67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</w:t>
            </w:r>
            <w:r w:rsidRPr="00F35EF0">
              <w:rPr>
                <w:rFonts w:asciiTheme="majorHAnsi" w:hAnsiTheme="majorHAnsi" w:cstheme="majorHAnsi"/>
              </w:rPr>
              <w:t>ematologická linka musí být nová, nepoškozená, nerepasovaná, plně automatická a certifikovaná (včetně ovládacího programového vybavení) pro in vitro diagnostiku (CE-IVD)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39E7FA" w14:textId="77777777" w:rsidR="00091EA9" w:rsidRPr="00A644FA" w:rsidRDefault="00091EA9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48551B0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9BAE0B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470C56C" w14:textId="77777777" w:rsidR="00091EA9" w:rsidRPr="00A644FA" w:rsidRDefault="00091EA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57058" w:rsidRPr="00A644FA" w14:paraId="65E93D5C" w14:textId="77777777" w:rsidTr="000461AD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D5FA" w14:textId="7092DA90" w:rsidR="00C57058" w:rsidRDefault="00C57058" w:rsidP="00C57058">
            <w:pPr>
              <w:jc w:val="both"/>
              <w:rPr>
                <w:rFonts w:asciiTheme="majorHAnsi" w:hAnsiTheme="majorHAnsi" w:cstheme="majorHAnsi"/>
              </w:rPr>
            </w:pPr>
            <w:r w:rsidRPr="00D5178A">
              <w:rPr>
                <w:rFonts w:asciiTheme="minorHAnsi" w:hAnsiTheme="minorHAnsi" w:cstheme="minorHAnsi"/>
              </w:rPr>
              <w:lastRenderedPageBreak/>
              <w:t xml:space="preserve">Max. rozměry </w:t>
            </w:r>
            <w:r>
              <w:rPr>
                <w:rFonts w:asciiTheme="minorHAnsi" w:hAnsiTheme="minorHAnsi" w:cstheme="minorHAnsi"/>
              </w:rPr>
              <w:t>hematologické linky</w:t>
            </w:r>
            <w:r w:rsidRPr="00D5178A">
              <w:rPr>
                <w:rFonts w:asciiTheme="minorHAnsi" w:hAnsiTheme="minorHAnsi" w:cstheme="minorHAnsi"/>
              </w:rPr>
              <w:t xml:space="preserve"> [mm] </w:t>
            </w:r>
            <w:r>
              <w:rPr>
                <w:rFonts w:asciiTheme="minorHAnsi" w:hAnsiTheme="minorHAnsi" w:cstheme="minorHAnsi"/>
              </w:rPr>
              <w:t>1900</w:t>
            </w:r>
            <w:r w:rsidRPr="00D5178A">
              <w:rPr>
                <w:rFonts w:asciiTheme="minorHAnsi" w:hAnsiTheme="minorHAnsi" w:cstheme="minorHAnsi"/>
              </w:rPr>
              <w:t xml:space="preserve"> x 1</w:t>
            </w:r>
            <w:r>
              <w:rPr>
                <w:rFonts w:asciiTheme="minorHAnsi" w:hAnsiTheme="minorHAnsi" w:cstheme="minorHAnsi"/>
              </w:rPr>
              <w:t>050 (š x 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8CF3" w14:textId="78AC6265" w:rsidR="00C57058" w:rsidRPr="00A644FA" w:rsidRDefault="00C57058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</w:rPr>
              <w:t>Max. 1900 x 1050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C1F16F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6583823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16E7772" w14:textId="77777777" w:rsidR="00C57058" w:rsidRPr="00A644FA" w:rsidRDefault="00C57058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62F6DC70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8D41" w14:textId="4CF8C7DE" w:rsidR="00EF3CA2" w:rsidRPr="00A644FA" w:rsidRDefault="00EF3CA2" w:rsidP="00EF3CA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3CA2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Hlavní analyzátor krevních obrazů</w:t>
            </w:r>
          </w:p>
        </w:tc>
      </w:tr>
      <w:tr w:rsidR="00FF1C4B" w:rsidRPr="00A644FA" w14:paraId="6163CA9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9590" w14:textId="5685B8F2" w:rsidR="00FF1C4B" w:rsidRPr="005B6988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erytroblastů s automatickou korekcí počtu leukocytů v každém krevním obraze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529645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5BB08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91091C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21742A0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1C4B" w:rsidRPr="00A644FA" w14:paraId="0FC492B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CBF3" w14:textId="111E1E33" w:rsidR="00FF1C4B" w:rsidRPr="005B6988" w:rsidRDefault="00FF1C4B" w:rsidP="00FE677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Využití kombinace různých profilů analýzy, např. KO, KO+DIF, KO+RET, KO+DIF+RET,KO+DIF+RET+PLT-F, KO+ PLT-F, KO+DIF+ PLT-F, BF dle požadavků z 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47FABA" w14:textId="77777777" w:rsidR="00FF1C4B" w:rsidRPr="00A644FA" w:rsidRDefault="00FF1C4B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6A760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3FD1AD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5BA48E" w14:textId="77777777" w:rsidR="00FF1C4B" w:rsidRPr="00A644FA" w:rsidRDefault="00FF1C4B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091DD22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6A6A" w14:textId="03031AF7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retikulocytů včetně parametrů indikujících kvalitu erytropoézy (hemoglobin v retikulocytech, rozčlenění retikulocytů dle stupně vyzrálosti na jednotlivé frakce, eventuálně další rozšířené </w:t>
            </w:r>
            <w:proofErr w:type="spellStart"/>
            <w:r w:rsidRPr="005B6988">
              <w:rPr>
                <w:rFonts w:asciiTheme="majorHAnsi" w:hAnsiTheme="majorHAnsi" w:cstheme="majorHAnsi"/>
              </w:rPr>
              <w:t>erytrocytární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parametry), přičemž tyto parametry musí být uvolněny pro klinické použití. Stanovení se provádí z primárních zkumavek a bez nutnosti manuální přípravy vzorků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032039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FF821F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3CEDB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7809D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0709783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9E35" w14:textId="1E428A54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Kvantitativní stanovení počtu trombocytů alternativními metodami k základní impedanční metodě, včetně kvantifikace nezralé frakce trombocytů na fluorescenčním principu (počet absolutní i relativní (%), oba požadované parametry musí být diagnostické a ne výzkumné) jako </w:t>
            </w:r>
            <w:proofErr w:type="spellStart"/>
            <w:r w:rsidRPr="005B6988">
              <w:rPr>
                <w:rFonts w:asciiTheme="majorHAnsi" w:hAnsiTheme="majorHAnsi" w:cstheme="majorHAnsi"/>
              </w:rPr>
              <w:t>markeru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pro klinické užití při monitoraci stavu </w:t>
            </w:r>
            <w:proofErr w:type="spellStart"/>
            <w:r w:rsidRPr="005B6988">
              <w:rPr>
                <w:rFonts w:asciiTheme="majorHAnsi" w:hAnsiTheme="majorHAnsi" w:cstheme="majorHAnsi"/>
              </w:rPr>
              <w:t>trombopoézy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u řady trombocytopenických a krvácejících pacientů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0C32241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061100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C6EA5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219E8ED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2E1B9D2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9663" w14:textId="1BA58DD3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Validovaný (pod interní kontrolou kvality) mód pro vyšetření všech tělních tekutin včetně diferenciace populace WBC (WBCBF, RBC-BF, MN (</w:t>
            </w:r>
            <w:proofErr w:type="spellStart"/>
            <w:proofErr w:type="gramStart"/>
            <w:r w:rsidRPr="005B6988">
              <w:rPr>
                <w:rFonts w:asciiTheme="majorHAnsi" w:hAnsiTheme="majorHAnsi" w:cstheme="majorHAnsi"/>
              </w:rPr>
              <w:t>mononukleáry</w:t>
            </w:r>
            <w:proofErr w:type="spellEnd"/>
            <w:r w:rsidRPr="005B6988">
              <w:rPr>
                <w:rFonts w:asciiTheme="majorHAnsi" w:hAnsiTheme="majorHAnsi" w:cstheme="majorHAnsi"/>
              </w:rPr>
              <w:t>,%,#) PMN</w:t>
            </w:r>
            <w:proofErr w:type="gramEnd"/>
            <w:r w:rsidRPr="005B6988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5B6988">
              <w:rPr>
                <w:rFonts w:asciiTheme="majorHAnsi" w:hAnsiTheme="majorHAnsi" w:cstheme="majorHAnsi"/>
              </w:rPr>
              <w:t>polymorfonukleáry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#, %), s přenosem parametrů do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0B1620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5CB25F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E33E42A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C510A1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66277AA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5E8F" w14:textId="0FD9E6EE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Vyšetření buněk s vysokou fluorescencí v tělních tekutinách pro záchyt významné patologie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E85A4E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9DD51A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356E8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179BBD3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7978AA7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403A" w14:textId="2D3145A2" w:rsidR="00F424B0" w:rsidRPr="005B6988" w:rsidRDefault="00F424B0" w:rsidP="00F424B0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lastRenderedPageBreak/>
              <w:t xml:space="preserve">Flexibilní nastavení automatického opakování a </w:t>
            </w:r>
            <w:proofErr w:type="spellStart"/>
            <w:r w:rsidRPr="005B6988">
              <w:rPr>
                <w:rFonts w:asciiTheme="majorHAnsi" w:hAnsiTheme="majorHAnsi" w:cstheme="majorHAnsi"/>
              </w:rPr>
              <w:t>retestování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bez zásahu obsluhy (ověření výsledku specifičtějšími metodami v případě podezření na patologický nález dle požadavků laboratoře) – požadavek na </w:t>
            </w:r>
            <w:proofErr w:type="gramStart"/>
            <w:r w:rsidRPr="005B6988">
              <w:rPr>
                <w:rFonts w:asciiTheme="majorHAnsi" w:hAnsiTheme="majorHAnsi" w:cstheme="majorHAnsi"/>
              </w:rPr>
              <w:t>obousměrný podavač</w:t>
            </w:r>
            <w:proofErr w:type="gramEnd"/>
            <w:r w:rsidRPr="005B6988">
              <w:rPr>
                <w:rFonts w:asciiTheme="majorHAnsi" w:hAnsiTheme="majorHAnsi" w:cstheme="majorHAnsi"/>
              </w:rPr>
              <w:t xml:space="preserve"> vzorků a expertní </w:t>
            </w:r>
            <w:proofErr w:type="spellStart"/>
            <w:r w:rsidRPr="005B6988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5B6988">
              <w:rPr>
                <w:rFonts w:asciiTheme="majorHAnsi" w:hAnsiTheme="majorHAnsi" w:cstheme="majorHAnsi"/>
              </w:rPr>
              <w:t xml:space="preserve"> s možností uživatelsky definovat pravidla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71D89F" w14:textId="77777777" w:rsidR="00F424B0" w:rsidRPr="00A644FA" w:rsidRDefault="00F424B0" w:rsidP="00AC5B9A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9026A6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2794CE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5848F41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2A032171" w14:textId="49F0005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9C2D" w14:textId="49EBEA25" w:rsidR="00FF1C4B" w:rsidRPr="005B6988" w:rsidRDefault="00F424B0" w:rsidP="003D4D1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B6988">
              <w:rPr>
                <w:rFonts w:asciiTheme="majorHAnsi" w:hAnsiTheme="majorHAnsi" w:cstheme="majorHAnsi"/>
              </w:rPr>
              <w:t>Minimalizace objemu potřebného pro analýzu - pro manuální režim vyšetřování krevních obrazů max. 100 µl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F6210B" w14:textId="3120A927" w:rsidR="00FF5479" w:rsidRPr="00A644FA" w:rsidRDefault="00F424B0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7B06">
              <w:rPr>
                <w:rFonts w:asciiTheme="majorHAnsi" w:hAnsiTheme="majorHAnsi" w:cstheme="majorHAnsi"/>
              </w:rPr>
              <w:t>max. 100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65E93C3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55787D8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749ECF7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424B0" w:rsidRPr="00A644FA" w14:paraId="18D33FD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D423" w14:textId="2BAC34A5" w:rsidR="00F424B0" w:rsidRPr="00E9257C" w:rsidRDefault="00F424B0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B6988">
              <w:rPr>
                <w:rFonts w:asciiTheme="majorHAnsi" w:hAnsiTheme="majorHAnsi" w:cstheme="majorHAnsi"/>
              </w:rPr>
              <w:t xml:space="preserve">Minimalizace objemu potřebného pro analýzu - pro automatický </w:t>
            </w:r>
            <w:r w:rsidRPr="00E9257C">
              <w:rPr>
                <w:rFonts w:asciiTheme="majorHAnsi" w:hAnsiTheme="majorHAnsi" w:cstheme="majorHAnsi"/>
              </w:rPr>
              <w:t>režim vyšetření tělních tekutin max. 150 µl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5D43283" w14:textId="1A314B50" w:rsidR="00F424B0" w:rsidRPr="00A644FA" w:rsidRDefault="00F424B0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7B06">
              <w:rPr>
                <w:rFonts w:asciiTheme="majorHAnsi" w:hAnsiTheme="majorHAnsi" w:cstheme="majorHAnsi"/>
              </w:rPr>
              <w:t>max. 150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A27F5D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CFD0054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0285C9" w14:textId="77777777" w:rsidR="00F424B0" w:rsidRPr="00A644FA" w:rsidRDefault="00F424B0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586" w:rsidRPr="00A644FA" w14:paraId="331E23D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72CA" w14:textId="25A4CCD5" w:rsidR="00C34586" w:rsidRPr="005B6988" w:rsidRDefault="00C34586" w:rsidP="00C34586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 xml:space="preserve">Schopnost provést minimálně 100 stanovení KO+DIF+NRBC za hodinu,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3E2784B" w14:textId="68F1294F" w:rsidR="00C34586" w:rsidRPr="00567B06" w:rsidRDefault="00C34586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100 stanovení/hod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2D7E9C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65EE456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6AA3E3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586" w:rsidRPr="00A644FA" w14:paraId="0A676D9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CE4B" w14:textId="5DDBAD85" w:rsidR="00C34586" w:rsidRPr="003D4D15" w:rsidRDefault="00C34586" w:rsidP="00EF3CA2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5B6988">
              <w:rPr>
                <w:rFonts w:asciiTheme="majorHAnsi" w:hAnsiTheme="majorHAnsi" w:cstheme="majorHAnsi"/>
              </w:rPr>
              <w:t xml:space="preserve">Automatický podavač (nebo jiný automatizovaný systém kontinuálního vkládání vzorků) s kapacitou minimálně 50 vzorků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E18024A" w14:textId="571A27E7" w:rsidR="00C34586" w:rsidRPr="00567B06" w:rsidRDefault="00C34586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 vzorků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1CB237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9EDBFF1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0E98A32" w14:textId="77777777" w:rsidR="00C34586" w:rsidRPr="00A644FA" w:rsidRDefault="00C34586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6E1C743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B028" w14:textId="078ED460" w:rsidR="00EF3CA2" w:rsidRPr="005B6988" w:rsidRDefault="00EF3CA2" w:rsidP="00EF3CA2">
            <w:pPr>
              <w:jc w:val="both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Databáze dostupných výsledků  min. 100 000 záznamů pro hlavní analyzátor krevních obrazů (při možnosti zálohy dat, nejlépe v pravidelných intervalech a bez zásahu obsluhy)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35E7D8" w14:textId="0FFE8005" w:rsidR="00EF3CA2" w:rsidRPr="005B6988" w:rsidRDefault="00EF3CA2" w:rsidP="00AC5B9A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5B6988">
              <w:rPr>
                <w:rFonts w:asciiTheme="majorHAnsi" w:hAnsiTheme="majorHAnsi" w:cstheme="majorHAnsi"/>
              </w:rPr>
              <w:t>min. 100 000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E0BFFD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D63BC8B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644F29F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0C341BD9" w14:textId="0A146DAA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06A0" w14:textId="65E17551" w:rsidR="00FF5479" w:rsidRPr="00A644FA" w:rsidRDefault="00EF3CA2" w:rsidP="009714E2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09FA">
              <w:rPr>
                <w:rFonts w:asciiTheme="majorHAnsi" w:hAnsiTheme="majorHAnsi" w:cstheme="majorHAnsi"/>
              </w:rPr>
              <w:t xml:space="preserve">Záloha primárních dat musí být zabezpečena na dvou nezávislých médiích </w:t>
            </w:r>
            <w:r w:rsidR="009714E2" w:rsidRPr="000309FA">
              <w:rPr>
                <w:rFonts w:asciiTheme="majorHAnsi" w:hAnsiTheme="majorHAnsi" w:cstheme="majorHAnsi"/>
              </w:rPr>
              <w:t>-</w:t>
            </w:r>
            <w:r w:rsidRPr="000309FA">
              <w:rPr>
                <w:rFonts w:asciiTheme="majorHAnsi" w:hAnsiTheme="majorHAnsi" w:cstheme="majorHAnsi"/>
              </w:rPr>
              <w:t xml:space="preserve"> na síťovém zálohovaném úložišti</w:t>
            </w:r>
            <w:r w:rsidR="009714E2" w:rsidRPr="000309FA">
              <w:rPr>
                <w:rFonts w:asciiTheme="majorHAnsi" w:hAnsiTheme="majorHAnsi" w:cstheme="majorHAnsi"/>
              </w:rPr>
              <w:t xml:space="preserve"> a USB disku</w:t>
            </w:r>
            <w:r w:rsidRPr="000309FA">
              <w:rPr>
                <w:rFonts w:asciiTheme="majorHAnsi" w:hAnsiTheme="majorHAnsi" w:cstheme="majorHAnsi"/>
              </w:rPr>
              <w:t xml:space="preserve">. Data musí být archivována a zálohována v needitovatelném formátu. Ze zálohy musí být možná kompletní obnova dat (numerických i grafických) i nastavení celého systému.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6C2375" w14:textId="77777777" w:rsidR="00FF5479" w:rsidRPr="00A644FA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9918BE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5717AD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CBFD37F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707F7034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0CD0" w14:textId="3EFB2A8E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 xml:space="preserve">Doplnění SW o </w:t>
            </w:r>
            <w:proofErr w:type="spellStart"/>
            <w:r w:rsidRPr="000F1A26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0F1A26">
              <w:rPr>
                <w:rFonts w:asciiTheme="majorHAnsi" w:hAnsiTheme="majorHAnsi" w:cstheme="majorHAnsi"/>
              </w:rPr>
              <w:t xml:space="preserve"> s uživatelsky definovatelnými pravidly. Programové vybavení (SW) řídí automatické zpracování vzorku analyzátory dle demografických dat, srovnání aktuálních a předchozích výsledků pacienta a kontrolující technické podmínky analýzy, aktivace pravidel na základě předchozích výsledků za dané období, nikoliv pouze poslední vzorek pacienta, nastavení pravidel s využitím specifických parametrů pacienta (diagnóza, oddělení, </w:t>
            </w:r>
            <w:r w:rsidRPr="000F1A26">
              <w:rPr>
                <w:rFonts w:asciiTheme="majorHAnsi" w:hAnsiTheme="majorHAnsi" w:cstheme="majorHAnsi"/>
              </w:rPr>
              <w:lastRenderedPageBreak/>
              <w:t>lékař), předání informací do LIS (např. komentáře) na základě kterých jsou automatizovány další kroky v </w:t>
            </w:r>
            <w:proofErr w:type="gramStart"/>
            <w:r w:rsidRPr="000F1A26">
              <w:rPr>
                <w:rFonts w:asciiTheme="majorHAnsi" w:hAnsiTheme="majorHAnsi" w:cstheme="majorHAnsi"/>
              </w:rPr>
              <w:t>LIS</w:t>
            </w:r>
            <w:proofErr w:type="gramEnd"/>
            <w:r w:rsidRPr="000F1A2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1D41A1" w14:textId="77777777" w:rsidR="00FF5479" w:rsidRPr="00A644FA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6BB4E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08B01B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58C4B7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3A7A800C" w14:textId="77777777" w:rsidTr="00EF3CA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D28A" w14:textId="26D0AAE6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Možnost následného opakování vzorků pacientů pod stejným číslem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ADCC80" w14:textId="77777777" w:rsidR="00FF5479" w:rsidRPr="000F1A26" w:rsidRDefault="00FF5479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8B3891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060C5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214FEA9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F5479" w:rsidRPr="00A644FA" w14:paraId="6F37D349" w14:textId="77777777" w:rsidTr="00EF3CA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5186" w14:textId="117A3374" w:rsidR="00FF5479" w:rsidRPr="000F1A26" w:rsidRDefault="00EF3CA2" w:rsidP="00FF547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Možnost validace min. 2 pracovníků (validační místa – stanice</w:t>
            </w:r>
            <w:r w:rsidR="00AE7250" w:rsidRPr="000F1A26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C48603C" w14:textId="5BFAC882" w:rsidR="00FF5479" w:rsidRPr="000F1A26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1A26">
              <w:rPr>
                <w:rFonts w:asciiTheme="majorHAnsi" w:hAnsiTheme="majorHAnsi" w:cstheme="majorHAnsi"/>
              </w:rPr>
              <w:t>min. 2 pracovníků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FA0E6D6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AC4A87C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58089EB" w14:textId="77777777" w:rsidR="00FF5479" w:rsidRPr="00A644FA" w:rsidRDefault="00FF5479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0443D" w:rsidRPr="00A644FA" w14:paraId="1E140E70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4479" w14:textId="77777777" w:rsidR="00D0443D" w:rsidRPr="00A17FC5" w:rsidRDefault="00D0443D" w:rsidP="00D0443D">
            <w:pPr>
              <w:rPr>
                <w:rFonts w:asciiTheme="majorHAnsi" w:hAnsiTheme="majorHAnsi" w:cstheme="majorHAnsi"/>
              </w:rPr>
            </w:pPr>
            <w:r w:rsidRPr="00A17FC5">
              <w:rPr>
                <w:rFonts w:asciiTheme="majorHAnsi" w:hAnsiTheme="majorHAnsi" w:cstheme="majorHAnsi"/>
              </w:rPr>
              <w:t xml:space="preserve">Stanovované parametry u krevního obrazu: WBC, RBC, HGB, HCT, MCV, MCH, MCHC, PLT, PLT-O, PLT-F,RDW-SD,  RDW-CV, PDW, MPV, PCT, P-LCR, NRBC(% i absolutně), IPF(% i absolutně), NEUT(% i absolutně), LYMPH(% i absolutně), </w:t>
            </w:r>
            <w:proofErr w:type="gramStart"/>
            <w:r w:rsidRPr="00A17FC5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A17FC5">
              <w:rPr>
                <w:rFonts w:asciiTheme="majorHAnsi" w:hAnsiTheme="majorHAnsi" w:cstheme="majorHAnsi"/>
              </w:rPr>
              <w:t>), EO(% i absolutně), BASO(% i absolutně), IG(% i absolutně), RET(% i absolutně),</w:t>
            </w:r>
          </w:p>
          <w:p w14:paraId="3AE81BC3" w14:textId="462DA382" w:rsidR="00D0443D" w:rsidRPr="00A17FC5" w:rsidRDefault="00D0443D" w:rsidP="00D0443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17FC5">
              <w:rPr>
                <w:rFonts w:asciiTheme="majorHAnsi" w:hAnsiTheme="majorHAnsi" w:cstheme="majorHAnsi"/>
              </w:rPr>
              <w:t>Stanovované parametry v tělních tekutinách: WBCBF</w:t>
            </w:r>
            <w:r>
              <w:rPr>
                <w:rFonts w:asciiTheme="majorHAnsi" w:hAnsiTheme="majorHAnsi" w:cstheme="majorHAnsi"/>
              </w:rPr>
              <w:t>, RBC-BF, MN (</w:t>
            </w:r>
            <w:proofErr w:type="spellStart"/>
            <w:r>
              <w:rPr>
                <w:rFonts w:asciiTheme="majorHAnsi" w:hAnsiTheme="majorHAnsi" w:cstheme="majorHAnsi"/>
              </w:rPr>
              <w:t>mononukleáry</w:t>
            </w:r>
            <w:proofErr w:type="spellEnd"/>
            <w:r>
              <w:rPr>
                <w:rFonts w:asciiTheme="majorHAnsi" w:hAnsiTheme="majorHAnsi" w:cstheme="majorHAnsi"/>
              </w:rPr>
              <w:t xml:space="preserve">,% i absolutně), </w:t>
            </w:r>
            <w:r w:rsidRPr="00A17FC5">
              <w:rPr>
                <w:rFonts w:asciiTheme="majorHAnsi" w:hAnsiTheme="majorHAnsi" w:cstheme="majorHAnsi"/>
              </w:rPr>
              <w:t>PMN (</w:t>
            </w:r>
            <w:proofErr w:type="spellStart"/>
            <w:r w:rsidRPr="00A17FC5">
              <w:rPr>
                <w:rFonts w:asciiTheme="majorHAnsi" w:hAnsiTheme="majorHAnsi" w:cstheme="majorHAnsi"/>
              </w:rPr>
              <w:t>polymorfonukleáry</w:t>
            </w:r>
            <w:proofErr w:type="spellEnd"/>
            <w:r w:rsidRPr="00A17FC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,</w:t>
            </w:r>
            <w:r w:rsidRPr="00A17FC5">
              <w:rPr>
                <w:rFonts w:asciiTheme="majorHAnsi" w:hAnsiTheme="majorHAnsi" w:cstheme="majorHAnsi"/>
              </w:rPr>
              <w:t xml:space="preserve"> %</w:t>
            </w:r>
            <w:r>
              <w:rPr>
                <w:rFonts w:asciiTheme="majorHAnsi" w:hAnsiTheme="majorHAnsi" w:cstheme="majorHAnsi"/>
              </w:rPr>
              <w:t xml:space="preserve">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7DE20D" w14:textId="77777777" w:rsidR="00D0443D" w:rsidRPr="00A644FA" w:rsidRDefault="00D0443D" w:rsidP="00D0443D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956013C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A4604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4DD04F6" w14:textId="77777777" w:rsidR="00D0443D" w:rsidRPr="00A644FA" w:rsidRDefault="00D0443D" w:rsidP="00D0443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45D19EFE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0E84" w14:textId="02ED6F15" w:rsidR="00EF3CA2" w:rsidRPr="00A644FA" w:rsidRDefault="00EF3CA2" w:rsidP="00EF3CA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P</w:t>
            </w:r>
            <w:r w:rsidRPr="00EF3CA2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lně automatický nátěrový a barvicí modul</w:t>
            </w:r>
          </w:p>
        </w:tc>
      </w:tr>
      <w:tr w:rsidR="00EF3CA2" w:rsidRPr="00A644FA" w14:paraId="4B7D141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32E6" w14:textId="07F78B92" w:rsidR="00EF3CA2" w:rsidRPr="00C527EE" w:rsidRDefault="00C527EE" w:rsidP="00EF3CA2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</w:rPr>
              <w:t>P</w:t>
            </w:r>
            <w:r w:rsidRPr="00C527EE">
              <w:rPr>
                <w:rFonts w:asciiTheme="majorHAnsi" w:hAnsiTheme="majorHAnsi" w:cstheme="majorHAnsi"/>
                <w:bCs/>
              </w:rPr>
              <w:t>lně automatický nátěrový a barvicí modul propojený sadou podavačů s analyzátorem krevních obrazů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756F67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FB80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84D1AA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6C6C22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05D8FE8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D950" w14:textId="5697420C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Nastavení tloušťky a délky nátěru dle hodnoty hematokritu (automaticky při vyšetření na hematologickém analyzátoru, manuálně při práci pouze s nátěrovým a barvícím automatem)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38CA66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B979F4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8869BE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74D91A3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59CDA69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B6FE" w14:textId="1164AE67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Barvení v samostatných kyvetách pro barvené nátěry, uzavřený okruh pro barvící roztoky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161B72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7B0D8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B80C70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5C1E07A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03F28CA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5672" w14:textId="36494401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Několikanásobné použití barvícího roztoku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C03353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7DBDCF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E7930D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801464C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1DC643C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5F6B" w14:textId="472CCB0C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t>Možnost automatického ředění barvícího roztoku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EA4CD6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9273B9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6E7313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4164D6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527EE" w:rsidRPr="00A644FA" w14:paraId="708B9F0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2A19" w14:textId="5733A5A3" w:rsidR="00C527EE" w:rsidRPr="00D663D3" w:rsidRDefault="00C527EE" w:rsidP="00EF3CA2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nastavení několika barvících protokolů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0EF286" w14:textId="77777777" w:rsidR="00C527EE" w:rsidRPr="00A644FA" w:rsidRDefault="00C527EE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7AD8D1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CB778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7765DD" w14:textId="77777777" w:rsidR="00C527EE" w:rsidRPr="00A644FA" w:rsidRDefault="00C527EE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F3CA2" w:rsidRPr="00A644FA" w14:paraId="324B449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F6B4" w14:textId="666F7CC6" w:rsidR="00EF3CA2" w:rsidRPr="00D663D3" w:rsidRDefault="00C527EE" w:rsidP="00EF3CA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D663D3">
              <w:rPr>
                <w:rFonts w:asciiTheme="majorHAnsi" w:hAnsiTheme="majorHAnsi" w:cstheme="majorHAnsi"/>
              </w:rPr>
              <w:lastRenderedPageBreak/>
              <w:t xml:space="preserve">Možnost nátěrů a barvení z </w:t>
            </w:r>
            <w:proofErr w:type="spellStart"/>
            <w:r w:rsidRPr="00D663D3">
              <w:rPr>
                <w:rFonts w:asciiTheme="majorHAnsi" w:hAnsiTheme="majorHAnsi" w:cstheme="majorHAnsi"/>
              </w:rPr>
              <w:t>mikrozkumavek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8529AA" w14:textId="77777777" w:rsidR="00EF3CA2" w:rsidRPr="00A644FA" w:rsidRDefault="00EF3CA2" w:rsidP="00AC5B9A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9C232B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FDFC3D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CC2A546" w14:textId="77777777" w:rsidR="00EF3CA2" w:rsidRPr="00A644FA" w:rsidRDefault="00EF3CA2" w:rsidP="00AC5B9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6DD23F" w14:textId="77777777" w:rsidTr="006A273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F93B" w14:textId="698E2E2E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65CE">
              <w:rPr>
                <w:rFonts w:asciiTheme="majorHAnsi" w:hAnsiTheme="majorHAnsi" w:cstheme="majorHAnsi"/>
              </w:rPr>
              <w:t xml:space="preserve">aximální náběr z </w:t>
            </w:r>
            <w:proofErr w:type="spellStart"/>
            <w:r w:rsidRPr="00B565CE">
              <w:rPr>
                <w:rFonts w:asciiTheme="majorHAnsi" w:hAnsiTheme="majorHAnsi" w:cstheme="majorHAnsi"/>
              </w:rPr>
              <w:t>mikrozkumavek</w:t>
            </w:r>
            <w:proofErr w:type="spellEnd"/>
            <w:r w:rsidRPr="00B565CE">
              <w:rPr>
                <w:rFonts w:asciiTheme="majorHAnsi" w:hAnsiTheme="majorHAnsi" w:cstheme="majorHAnsi"/>
              </w:rPr>
              <w:t xml:space="preserve"> </w:t>
            </w:r>
            <w:r w:rsidRPr="006F6300">
              <w:rPr>
                <w:rFonts w:asciiTheme="majorHAnsi" w:hAnsiTheme="majorHAnsi" w:cstheme="majorHAnsi"/>
              </w:rPr>
              <w:t>70 µl</w:t>
            </w:r>
            <w:r w:rsidRPr="00B565CE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4CF0" w14:textId="560AEA9C" w:rsidR="006A273F" w:rsidRPr="006A273F" w:rsidRDefault="006A273F" w:rsidP="006A273F">
            <w:pPr>
              <w:spacing w:before="0" w:after="0"/>
              <w:rPr>
                <w:rFonts w:asciiTheme="majorHAnsi" w:hAnsiTheme="majorHAnsi" w:cstheme="majorHAnsi"/>
                <w:color w:val="000000" w:themeColor="text1"/>
              </w:rPr>
            </w:pPr>
            <w:r w:rsidRPr="006A273F">
              <w:rPr>
                <w:rFonts w:asciiTheme="majorHAnsi" w:hAnsiTheme="majorHAnsi" w:cstheme="majorHAnsi"/>
                <w:color w:val="000000" w:themeColor="text1"/>
              </w:rPr>
              <w:t>max. náběr</w:t>
            </w:r>
            <w:r w:rsidRPr="006A273F">
              <w:rPr>
                <w:rFonts w:asciiTheme="majorHAnsi" w:hAnsiTheme="majorHAnsi" w:cstheme="majorHAnsi"/>
              </w:rPr>
              <w:t>70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4E5A5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EDB7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A2539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2B5BD6" w14:textId="77777777" w:rsidTr="00C527EE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3DB3" w14:textId="3A012E92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B565CE">
              <w:rPr>
                <w:rFonts w:asciiTheme="majorHAnsi" w:hAnsiTheme="majorHAnsi" w:cstheme="majorHAnsi"/>
              </w:rPr>
              <w:t xml:space="preserve">ychlost: </w:t>
            </w:r>
            <w:r>
              <w:rPr>
                <w:rFonts w:asciiTheme="majorHAnsi" w:hAnsiTheme="majorHAnsi" w:cstheme="majorHAnsi"/>
              </w:rPr>
              <w:t xml:space="preserve">min. </w:t>
            </w:r>
            <w:r w:rsidRPr="00B565C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nátěrů/hod.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08DD5D" w14:textId="23D20A73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r w:rsidRPr="00B565C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nátěrů/hod.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820EA6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1CCBB3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6382D3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EB6579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3B82" w14:textId="5779B9DF" w:rsidR="006A273F" w:rsidRDefault="006A273F" w:rsidP="006A273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565CE">
              <w:rPr>
                <w:rFonts w:asciiTheme="majorHAnsi" w:hAnsiTheme="majorHAnsi" w:cstheme="majorHAnsi"/>
              </w:rPr>
              <w:t>átěr a barvení vzorků bez vyšetřen</w:t>
            </w:r>
            <w:r>
              <w:rPr>
                <w:rFonts w:asciiTheme="majorHAnsi" w:hAnsiTheme="majorHAnsi" w:cstheme="majorHAnsi"/>
              </w:rPr>
              <w:t>í na hematologickém analyzátoru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86E376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D0FBC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591B2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37370A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3A8D4F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D22" w14:textId="36F7D5B3" w:rsidR="006A273F" w:rsidRDefault="00D663D3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A273F" w:rsidRPr="00B565CE">
              <w:rPr>
                <w:rFonts w:asciiTheme="majorHAnsi" w:hAnsiTheme="majorHAnsi" w:cstheme="majorHAnsi"/>
              </w:rPr>
              <w:t>ožnost samostatného barvení již</w:t>
            </w:r>
            <w:r w:rsidR="006A273F">
              <w:rPr>
                <w:rFonts w:asciiTheme="majorHAnsi" w:hAnsiTheme="majorHAnsi" w:cstheme="majorHAnsi"/>
              </w:rPr>
              <w:t xml:space="preserve"> hotového nátěru (kostní dřeně)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CADC2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96BF9B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56C00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110FC3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3E14A7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FAC6" w14:textId="3EB8A496" w:rsidR="006A273F" w:rsidRPr="00B565CE" w:rsidRDefault="006A273F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65CE">
              <w:rPr>
                <w:rFonts w:asciiTheme="majorHAnsi" w:hAnsiTheme="majorHAnsi" w:cstheme="majorHAnsi"/>
              </w:rPr>
              <w:t>ožno</w:t>
            </w:r>
            <w:r>
              <w:rPr>
                <w:rFonts w:asciiTheme="majorHAnsi" w:hAnsiTheme="majorHAnsi" w:cstheme="majorHAnsi"/>
              </w:rPr>
              <w:t>st provedení nátěrů bez barvení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164F5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ADB7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02B44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3CBFE2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0C8FAAE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BE80" w14:textId="1F93CC27" w:rsidR="006A273F" w:rsidRPr="00B565CE" w:rsidRDefault="006A273F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565CE">
              <w:rPr>
                <w:rFonts w:asciiTheme="majorHAnsi" w:hAnsiTheme="majorHAnsi" w:cstheme="majorHAnsi"/>
              </w:rPr>
              <w:t xml:space="preserve">átěr </w:t>
            </w:r>
            <w:r>
              <w:rPr>
                <w:rFonts w:asciiTheme="majorHAnsi" w:hAnsiTheme="majorHAnsi" w:cstheme="majorHAnsi"/>
              </w:rPr>
              <w:t>ze</w:t>
            </w:r>
            <w:r w:rsidRPr="00B565CE">
              <w:rPr>
                <w:rFonts w:asciiTheme="majorHAnsi" w:hAnsiTheme="majorHAnsi" w:cstheme="majorHAnsi"/>
              </w:rPr>
              <w:t xml:space="preserve"> zkumavek se zvýšeným dnem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19E07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C5C06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73E54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2E7EF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5DA5" w:rsidRPr="00A644FA" w14:paraId="31BA3FE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A879" w14:textId="5BE20612" w:rsidR="00D95DA5" w:rsidRDefault="00D95DA5" w:rsidP="006A27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Identifikace vzorku potiskem na broušenou část nátěrového skla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960FB6" w14:textId="77777777" w:rsidR="00D95DA5" w:rsidRPr="00A644FA" w:rsidRDefault="00D95DA5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E58639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5AE8AA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9C7ED2" w14:textId="77777777" w:rsidR="00D95DA5" w:rsidRPr="00A644FA" w:rsidRDefault="00D95DA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B93D259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B4ED" w14:textId="1221A200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M</w:t>
            </w:r>
            <w:r w:rsidRPr="00C527EE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odul pro digitalizaci krevních nátěrů</w:t>
            </w:r>
          </w:p>
        </w:tc>
      </w:tr>
      <w:tr w:rsidR="006A273F" w:rsidRPr="00A644FA" w14:paraId="7186FB84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5A82" w14:textId="4D469BF8" w:rsidR="006A273F" w:rsidRPr="009B432F" w:rsidRDefault="006A273F" w:rsidP="006A273F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</w:t>
            </w:r>
            <w:r w:rsidRPr="009B432F">
              <w:rPr>
                <w:rFonts w:asciiTheme="majorHAnsi" w:hAnsiTheme="majorHAnsi" w:cstheme="majorHAnsi"/>
                <w:bCs/>
              </w:rPr>
              <w:t>odul pro digitalizaci krevních nátěrů, který je propojený sadou podavačů s nátěrovým a barvícím modulem a tvoří tak ucelenou linku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511441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582D2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C272F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CC1CA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06EA7B9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7DD0" w14:textId="1CE53858" w:rsidR="006A273F" w:rsidRPr="00D663D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 xml:space="preserve">Nová, nerepasovaná digitální morfologie propojená sadou podavačů pro vytvoření plnohodnotné hematologické linky umožňující automatizovaný přesun obarveného mikroskopického sklíčka do digitální morfologie a jeho vyhodnocení včetně SW propojení a vyhodnocení jednotným řídím SW propojeným s LIS objednatele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257DA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A0FE0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3DC5A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D48E9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8BB69FE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CBBF" w14:textId="5924DA48" w:rsidR="006A273F" w:rsidRPr="00D61FDD" w:rsidRDefault="006A273F" w:rsidP="006A273F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4B3ED0">
              <w:rPr>
                <w:rFonts w:asciiTheme="majorHAnsi" w:hAnsiTheme="majorHAnsi" w:cstheme="majorHAnsi"/>
              </w:rPr>
              <w:t xml:space="preserve">Automatická </w:t>
            </w:r>
            <w:proofErr w:type="spellStart"/>
            <w:r w:rsidRPr="004B3ED0">
              <w:rPr>
                <w:rFonts w:asciiTheme="majorHAnsi" w:hAnsiTheme="majorHAnsi" w:cstheme="majorHAnsi"/>
              </w:rPr>
              <w:t>preanalýza</w:t>
            </w:r>
            <w:proofErr w:type="spellEnd"/>
            <w:r w:rsidRPr="004B3ED0">
              <w:rPr>
                <w:rFonts w:asciiTheme="majorHAnsi" w:hAnsiTheme="majorHAnsi" w:cstheme="majorHAnsi"/>
              </w:rPr>
              <w:t xml:space="preserve"> nátěrů periferní krve, rozřazení do buněčných skupin (min. 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7671921" w14:textId="19B7BE4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93BF06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82DBC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636A09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7FBF54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FFAA" w14:textId="3AE9BB97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Automatický podavač na krevní nátěry – boxy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1AD0F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D0352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94C53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45E129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97E3AE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1211" w14:textId="6CC2847E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lastRenderedPageBreak/>
              <w:t>Automatické dávkování imerzního oleje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5C0FA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7D0A48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4581D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94414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C27F9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CA12" w14:textId="23F9D712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uživatelsky nastavit počet definovaných buněk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3ECF70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A8A65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017F3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F7947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DC3D28B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C9BB" w14:textId="2DE0228D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Dlouhodobé uložení v databázi - dokumentace kompletního diferenciálu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82F569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D0D74F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4D0DE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F1C5A5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466623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95D1" w14:textId="0E3E32EB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Automatická klasifikace morfologie erytrocytů a trombocytů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E7626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B7878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D6113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C6045E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6FD7A5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301D" w14:textId="02ADCAA9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 xml:space="preserve">Optimalizované zpracování </w:t>
            </w:r>
            <w:proofErr w:type="spellStart"/>
            <w:r w:rsidRPr="00D663D3">
              <w:rPr>
                <w:rFonts w:asciiTheme="majorHAnsi" w:hAnsiTheme="majorHAnsi" w:cstheme="majorHAnsi"/>
              </w:rPr>
              <w:t>cytopenických</w:t>
            </w:r>
            <w:proofErr w:type="spellEnd"/>
            <w:r w:rsidRPr="00D663D3">
              <w:rPr>
                <w:rFonts w:asciiTheme="majorHAnsi" w:hAnsiTheme="majorHAnsi" w:cstheme="majorHAnsi"/>
              </w:rPr>
              <w:t xml:space="preserve"> vzorků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B39137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D6CC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6331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A66A90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693AA6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7E0E" w14:textId="0008D2E9" w:rsidR="006A273F" w:rsidRPr="00D663D3" w:rsidRDefault="006A273F" w:rsidP="006A273F">
            <w:pPr>
              <w:rPr>
                <w:rFonts w:asciiTheme="majorHAnsi" w:hAnsiTheme="majorHAnsi" w:cstheme="majorHAnsi"/>
              </w:rPr>
            </w:pPr>
            <w:r w:rsidRPr="00D663D3">
              <w:rPr>
                <w:rFonts w:asciiTheme="majorHAnsi" w:hAnsiTheme="majorHAnsi" w:cstheme="majorHAnsi"/>
              </w:rPr>
              <w:t>Možnost zasílání vybraných buněk mailem ke konzultaci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C0A7EA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0F6AB2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FD2C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15E23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31A8D5F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313C" w14:textId="495D2D55" w:rsidR="006A273F" w:rsidRPr="008A2C26" w:rsidRDefault="006A273F" w:rsidP="006A273F">
            <w:pPr>
              <w:rPr>
                <w:rFonts w:asciiTheme="majorHAnsi" w:hAnsiTheme="majorHAnsi" w:cstheme="majorHAnsi"/>
                <w:highlight w:val="yellow"/>
              </w:rPr>
            </w:pPr>
            <w:r w:rsidRPr="00F270C9">
              <w:rPr>
                <w:rFonts w:asciiTheme="majorHAnsi" w:hAnsiTheme="majorHAnsi" w:cstheme="majorHAnsi"/>
              </w:rPr>
              <w:t>Min. 2 vyhodnocovací stanice (s možností rozšíření)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35B955B" w14:textId="3BADCCAE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7D6D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5D5C6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51FE17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16C4A3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BEEF" w14:textId="38EDC270" w:rsidR="006A273F" w:rsidRPr="00804CFE" w:rsidRDefault="006A273F" w:rsidP="006A273F">
            <w:pPr>
              <w:rPr>
                <w:rFonts w:asciiTheme="majorHAnsi" w:hAnsiTheme="majorHAnsi" w:cstheme="majorHAnsi"/>
                <w:highlight w:val="cyan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6F6300">
              <w:rPr>
                <w:rFonts w:asciiTheme="majorHAnsi" w:hAnsiTheme="majorHAnsi" w:cstheme="majorHAnsi"/>
              </w:rPr>
              <w:t>ostatečná kapacita databáze (minimálně 3 TB)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85A8642" w14:textId="659149E6" w:rsidR="006A273F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min. 3 TB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3DD44A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A9EA6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35C2C2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849261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44C2" w14:textId="7D5D4EED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Z</w:t>
            </w:r>
            <w:r w:rsidRPr="00091E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áložní analyzátor krevních buněk</w:t>
            </w:r>
          </w:p>
        </w:tc>
      </w:tr>
      <w:tr w:rsidR="006A273F" w:rsidRPr="00A644FA" w14:paraId="5E2303F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B509" w14:textId="316F7342" w:rsidR="006A273F" w:rsidRPr="00FF5479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09FA">
              <w:rPr>
                <w:rFonts w:asciiTheme="majorHAnsi" w:hAnsiTheme="majorHAnsi" w:cstheme="majorHAnsi"/>
              </w:rPr>
              <w:t>záložní analyzátor krevního obrazu musí být obdobného typu jako v hematologické lince, využití stejného obslužného software</w:t>
            </w:r>
            <w:r w:rsidR="000309FA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="000309FA">
              <w:rPr>
                <w:rFonts w:asciiTheme="majorHAnsi" w:hAnsiTheme="majorHAnsi" w:cstheme="majorHAnsi"/>
              </w:rPr>
              <w:t>middelware</w:t>
            </w:r>
            <w:proofErr w:type="spellEnd"/>
            <w:r w:rsidR="000309FA">
              <w:rPr>
                <w:rFonts w:asciiTheme="majorHAnsi" w:hAnsiTheme="majorHAnsi" w:cstheme="majorHAnsi"/>
              </w:rPr>
              <w:t>)</w:t>
            </w:r>
            <w:r w:rsidRPr="000309FA">
              <w:rPr>
                <w:rFonts w:asciiTheme="majorHAnsi" w:hAnsiTheme="majorHAnsi" w:cstheme="majorHAnsi"/>
              </w:rPr>
              <w:t xml:space="preserve"> pro zjednodušení zastupitelnosti obsluhy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CEC98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16F14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33F0F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EAFEC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85F51A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C29E" w14:textId="47DE7C6C" w:rsidR="006A273F" w:rsidRPr="00FF5479" w:rsidRDefault="006A273F" w:rsidP="006E75C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945FA">
              <w:rPr>
                <w:rFonts w:asciiTheme="majorHAnsi" w:hAnsiTheme="majorHAnsi" w:cstheme="majorHAnsi"/>
              </w:rPr>
              <w:t>odul</w:t>
            </w:r>
            <w:r w:rsidR="006E75C5">
              <w:rPr>
                <w:rFonts w:asciiTheme="majorHAnsi" w:hAnsiTheme="majorHAnsi" w:cstheme="majorHAnsi"/>
              </w:rPr>
              <w:t xml:space="preserve"> musí být nový</w:t>
            </w:r>
            <w:r w:rsidRPr="00A945FA">
              <w:rPr>
                <w:rFonts w:asciiTheme="majorHAnsi" w:hAnsiTheme="majorHAnsi" w:cstheme="majorHAnsi"/>
              </w:rPr>
              <w:t>, nepouž</w:t>
            </w:r>
            <w:r w:rsidR="006E75C5">
              <w:rPr>
                <w:rFonts w:asciiTheme="majorHAnsi" w:hAnsiTheme="majorHAnsi" w:cstheme="majorHAnsi"/>
              </w:rPr>
              <w:t>itý</w:t>
            </w:r>
            <w:r w:rsidRPr="00A945FA">
              <w:rPr>
                <w:rFonts w:asciiTheme="majorHAnsi" w:hAnsiTheme="majorHAnsi" w:cstheme="majorHAnsi"/>
              </w:rPr>
              <w:t>, nerepasov</w:t>
            </w:r>
            <w:r>
              <w:rPr>
                <w:rFonts w:asciiTheme="majorHAnsi" w:hAnsiTheme="majorHAnsi" w:cstheme="majorHAnsi"/>
              </w:rPr>
              <w:t>a</w:t>
            </w:r>
            <w:r w:rsidR="006E75C5">
              <w:rPr>
                <w:rFonts w:asciiTheme="majorHAnsi" w:hAnsiTheme="majorHAnsi" w:cstheme="majorHAnsi"/>
              </w:rPr>
              <w:t>ný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5BF447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B7093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E8FFB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A5B6B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7A045E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5FF4" w14:textId="7FA11FC4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Automatický hematologický analyzátor s podavačem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94CEFC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D56DF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E977F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7AB747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A629472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F9FC" w14:textId="12D38B2A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</w:rPr>
              <w:t xml:space="preserve">Shodný princip měření s analyzátorem v lince </w:t>
            </w:r>
            <w:r w:rsidRPr="006E75C5">
              <w:rPr>
                <w:rFonts w:asciiTheme="majorHAnsi" w:hAnsiTheme="majorHAnsi" w:cstheme="majorHAnsi"/>
                <w:bCs/>
              </w:rPr>
              <w:t xml:space="preserve">- průtoková fluorescenční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cytometrie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0C166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FC56AA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9969B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78DA7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523AFB3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0828" w14:textId="7602D5B0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Nízký aspirační objem, maximálně 25 µl (novorozenci)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5A9A15" w14:textId="4F73030B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Cs/>
              </w:rPr>
              <w:t>m</w:t>
            </w:r>
            <w:r w:rsidRPr="00B565CE">
              <w:rPr>
                <w:rFonts w:asciiTheme="majorHAnsi" w:hAnsiTheme="majorHAnsi" w:cstheme="majorHAnsi"/>
                <w:bCs/>
              </w:rPr>
              <w:t>ax</w:t>
            </w:r>
            <w:r>
              <w:rPr>
                <w:rFonts w:asciiTheme="majorHAnsi" w:hAnsiTheme="majorHAnsi" w:cstheme="majorHAnsi"/>
                <w:bCs/>
              </w:rPr>
              <w:t xml:space="preserve">. </w:t>
            </w:r>
            <w:r w:rsidRPr="006F6300">
              <w:rPr>
                <w:rFonts w:asciiTheme="majorHAnsi" w:hAnsiTheme="majorHAnsi" w:cstheme="majorHAnsi"/>
                <w:bCs/>
              </w:rPr>
              <w:t>25 µ</w:t>
            </w:r>
            <w:r w:rsidRPr="00B565CE">
              <w:rPr>
                <w:rFonts w:asciiTheme="majorHAnsi" w:hAnsiTheme="majorHAnsi" w:cstheme="majorHAnsi"/>
                <w:bCs/>
              </w:rPr>
              <w:t>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1D5F0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76F5C5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361DD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7CDC6C4" w14:textId="77777777" w:rsidTr="004470D5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0845" w14:textId="5D6A2FCD" w:rsidR="006A273F" w:rsidRPr="006E75C5" w:rsidRDefault="006A273F" w:rsidP="006A273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6E75C5">
              <w:rPr>
                <w:rFonts w:asciiTheme="majorHAnsi" w:hAnsiTheme="majorHAnsi" w:cstheme="majorHAnsi"/>
                <w:bCs/>
              </w:rPr>
              <w:t xml:space="preserve">Kapacita min. 50 vzorků KO +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6E75C5">
              <w:rPr>
                <w:rFonts w:asciiTheme="majorHAnsi" w:hAnsiTheme="majorHAnsi" w:cstheme="majorHAnsi"/>
                <w:bCs/>
              </w:rPr>
              <w:t xml:space="preserve"> za hodinu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4E0F17" w14:textId="163CD40C" w:rsidR="006A273F" w:rsidRDefault="006A273F" w:rsidP="006A273F">
            <w:pPr>
              <w:spacing w:before="0" w:after="0"/>
              <w:jc w:val="center"/>
              <w:rPr>
                <w:rFonts w:asciiTheme="majorHAnsi" w:hAnsiTheme="majorHAnsi" w:cstheme="majorHAnsi"/>
                <w:bCs/>
              </w:rPr>
            </w:pPr>
            <w:r w:rsidRPr="00B565CE">
              <w:rPr>
                <w:rFonts w:asciiTheme="majorHAnsi" w:hAnsiTheme="majorHAnsi" w:cstheme="majorHAnsi"/>
                <w:bCs/>
              </w:rPr>
              <w:t xml:space="preserve">min. 50 vzorků KO + </w:t>
            </w:r>
            <w:proofErr w:type="spellStart"/>
            <w:r w:rsidRPr="00B565CE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B565CE">
              <w:rPr>
                <w:rFonts w:asciiTheme="majorHAnsi" w:hAnsiTheme="majorHAnsi" w:cstheme="majorHAnsi"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Cs/>
              </w:rPr>
              <w:t xml:space="preserve">/ </w:t>
            </w:r>
            <w:r w:rsidRPr="00B565CE">
              <w:rPr>
                <w:rFonts w:asciiTheme="majorHAnsi" w:hAnsiTheme="majorHAnsi" w:cstheme="majorHAnsi"/>
                <w:bCs/>
              </w:rPr>
              <w:t>hod</w:t>
            </w:r>
            <w:r>
              <w:rPr>
                <w:rFonts w:asciiTheme="majorHAnsi" w:hAnsiTheme="majorHAnsi" w:cstheme="majorHAnsi"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0A5BEE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99335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D53ED9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7D1A99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CF36" w14:textId="4B8B2A61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lastRenderedPageBreak/>
              <w:t xml:space="preserve">Měření KO (krevního obrazu) samostatně, KO, KO + 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dif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B503A3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5966D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CA61A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10211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67BEC6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AF07" w14:textId="4247B22B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Systém lze rozšířit o další módy měření – tělní tekutiny či retikulocyty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87593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774D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EEC1B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08AC38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36DEFFA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CACF" w14:textId="727A662A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Monitoring hladiny reagencií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F742B1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C62B7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7E195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9E354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EFCAC86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7A1F" w14:textId="56A8F002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Obousměrná komunikace s LIS (</w:t>
            </w:r>
            <w:proofErr w:type="spellStart"/>
            <w:r w:rsidRPr="006E75C5">
              <w:rPr>
                <w:rFonts w:asciiTheme="majorHAnsi" w:hAnsiTheme="majorHAnsi" w:cstheme="majorHAnsi"/>
                <w:bCs/>
              </w:rPr>
              <w:t>OpenLIMS</w:t>
            </w:r>
            <w:proofErr w:type="spellEnd"/>
            <w:r w:rsidRPr="006E75C5">
              <w:rPr>
                <w:rFonts w:asciiTheme="majorHAnsi" w:hAnsiTheme="majorHAnsi" w:cstheme="majorHAnsi"/>
                <w:bCs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79E110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BBE89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D6070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D75C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997829F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1040" w14:textId="0D518E34" w:rsidR="006A273F" w:rsidRPr="006E75C5" w:rsidRDefault="00D0443D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>Software pro interní QC (kvalitu kontroly) + statistické vyhodnocení (L-</w:t>
            </w:r>
            <w:r>
              <w:rPr>
                <w:rFonts w:asciiTheme="majorHAnsi" w:hAnsiTheme="majorHAnsi" w:cstheme="majorHAnsi"/>
                <w:bCs/>
              </w:rPr>
              <w:t>J</w:t>
            </w:r>
            <w:r w:rsidRPr="006E75C5">
              <w:rPr>
                <w:rFonts w:asciiTheme="majorHAnsi" w:hAnsiTheme="majorHAnsi" w:cstheme="majorHAnsi"/>
                <w:bCs/>
              </w:rPr>
              <w:t>, X-B)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F23F4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72E42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6B58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C8FF43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34947B2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86C6" w14:textId="69D9F847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  <w:bCs/>
              </w:rPr>
              <w:t xml:space="preserve">Zajištění vzdáleného přístupu servisu viz </w:t>
            </w:r>
            <w:r w:rsidRPr="006E75C5">
              <w:rPr>
                <w:rFonts w:asciiTheme="majorHAnsi" w:hAnsiTheme="majorHAnsi" w:cstheme="majorHAnsi"/>
              </w:rPr>
              <w:t>Požadavky na údržbu a servis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43B1D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5C919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492CD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49DA5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163C491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05C4" w14:textId="2DCBDC89" w:rsidR="006A273F" w:rsidRPr="006E75C5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E75C5">
              <w:rPr>
                <w:rFonts w:asciiTheme="majorHAnsi" w:hAnsiTheme="majorHAnsi" w:cstheme="majorHAnsi"/>
              </w:rPr>
              <w:t xml:space="preserve">Stanovované parametry: WBC, RBC, HGB, HCT, MCV, MCH, MCHC, PLT,RDW-SD,  RDW-CV, PDW, MPV, PCT, P-LCR, NEUT(% i absolutně), LYMPH(% i absolutně), </w:t>
            </w:r>
            <w:proofErr w:type="gramStart"/>
            <w:r w:rsidRPr="006E75C5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6E75C5">
              <w:rPr>
                <w:rFonts w:asciiTheme="majorHAnsi" w:hAnsiTheme="majorHAnsi" w:cstheme="majorHAnsi"/>
              </w:rPr>
              <w:t>), EO(% i absolutně), BASO(% i absolutně), IG(%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D9EDCB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846A6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F39DB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EF6E96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7A3E87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1AE5" w14:textId="79B1FCE7" w:rsidR="006A273F" w:rsidRPr="00BF194D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F194D">
              <w:rPr>
                <w:rFonts w:asciiTheme="majorHAnsi" w:hAnsiTheme="majorHAnsi" w:cstheme="majorHAnsi"/>
              </w:rPr>
              <w:t>Databáze dostupných výsledků  min. 10 000 záznamů při možnosti zálohy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F78E3B" w14:textId="6CB4DEC1" w:rsidR="006A273F" w:rsidRPr="00BF194D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F194D">
              <w:rPr>
                <w:rFonts w:asciiTheme="majorHAnsi" w:hAnsiTheme="majorHAnsi" w:cstheme="majorHAnsi"/>
              </w:rPr>
              <w:t>min. 10 000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D1857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9D19EF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9CC378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D20" w:rsidRPr="00A644FA" w14:paraId="09D9DC05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EA3" w14:textId="31AD6266" w:rsidR="00525D20" w:rsidRPr="00C57058" w:rsidRDefault="00525D20" w:rsidP="00C57058">
            <w:pPr>
              <w:jc w:val="both"/>
              <w:rPr>
                <w:rFonts w:asciiTheme="majorHAnsi" w:hAnsiTheme="majorHAnsi" w:cstheme="majorHAnsi"/>
              </w:rPr>
            </w:pPr>
            <w:r w:rsidRPr="00C57058">
              <w:rPr>
                <w:rFonts w:asciiTheme="minorHAnsi" w:hAnsiTheme="minorHAnsi" w:cstheme="minorHAnsi"/>
              </w:rPr>
              <w:t xml:space="preserve">Max. rozměry záložního analyzátoru [mm] </w:t>
            </w:r>
            <w:r w:rsidR="00C57058" w:rsidRPr="00C57058">
              <w:rPr>
                <w:rFonts w:asciiTheme="minorHAnsi" w:hAnsiTheme="minorHAnsi" w:cstheme="minorHAnsi"/>
              </w:rPr>
              <w:t>500</w:t>
            </w:r>
            <w:r w:rsidRPr="00C57058">
              <w:rPr>
                <w:rFonts w:asciiTheme="minorHAnsi" w:hAnsiTheme="minorHAnsi" w:cstheme="minorHAnsi"/>
              </w:rPr>
              <w:t xml:space="preserve"> x </w:t>
            </w:r>
            <w:r w:rsidR="00C57058" w:rsidRPr="00C57058">
              <w:rPr>
                <w:rFonts w:asciiTheme="minorHAnsi" w:hAnsiTheme="minorHAnsi" w:cstheme="minorHAnsi"/>
              </w:rPr>
              <w:t>700 (š x 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428751E" w14:textId="6823DFC2" w:rsidR="00525D20" w:rsidRPr="00C57058" w:rsidRDefault="00525D20" w:rsidP="006A273F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C57058">
              <w:rPr>
                <w:rFonts w:asciiTheme="majorHAnsi" w:hAnsiTheme="majorHAnsi" w:cstheme="majorHAnsi"/>
              </w:rPr>
              <w:t xml:space="preserve">Max. </w:t>
            </w:r>
            <w:r w:rsidR="00C57058" w:rsidRPr="00C57058">
              <w:rPr>
                <w:rFonts w:asciiTheme="majorHAnsi" w:hAnsiTheme="majorHAnsi" w:cstheme="majorHAnsi"/>
              </w:rPr>
              <w:t>500 x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F21A178" w14:textId="77777777" w:rsidR="00525D20" w:rsidRPr="00A644FA" w:rsidRDefault="00525D20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83C3A74" w14:textId="77777777" w:rsidR="00525D20" w:rsidRPr="00A644FA" w:rsidRDefault="00525D20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99B6761" w14:textId="77777777" w:rsidR="00525D20" w:rsidRPr="00A644FA" w:rsidRDefault="00525D20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704D700" w14:textId="77777777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AAE4" w14:textId="0BF86341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A148C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Analyzátor krevních buněk na Odběrové centrum</w:t>
            </w:r>
          </w:p>
        </w:tc>
      </w:tr>
      <w:tr w:rsidR="002B1015" w:rsidRPr="00A644FA" w14:paraId="68E7623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0F61" w14:textId="6999B1DA" w:rsidR="002B1015" w:rsidRDefault="002B1015" w:rsidP="00CD54A1">
            <w:pPr>
              <w:jc w:val="both"/>
              <w:rPr>
                <w:rFonts w:asciiTheme="majorHAnsi" w:hAnsiTheme="majorHAnsi" w:cstheme="majorHAnsi"/>
                <w:highlight w:val="lightGray"/>
              </w:rPr>
            </w:pPr>
            <w:r w:rsidRPr="000309FA">
              <w:rPr>
                <w:rFonts w:asciiTheme="majorHAnsi" w:hAnsiTheme="majorHAnsi" w:cstheme="majorHAnsi"/>
              </w:rPr>
              <w:t>analyzátor krevního obrazu musí být obdobného typu jako v hematologické lince</w:t>
            </w:r>
            <w:r>
              <w:rPr>
                <w:rFonts w:asciiTheme="majorHAnsi" w:hAnsiTheme="majorHAnsi" w:cstheme="majorHAnsi"/>
              </w:rPr>
              <w:t xml:space="preserve"> dodávané na Oddělení hematologie</w:t>
            </w:r>
            <w:r w:rsidRPr="000309FA">
              <w:rPr>
                <w:rFonts w:asciiTheme="majorHAnsi" w:hAnsiTheme="majorHAnsi" w:cstheme="majorHAnsi"/>
              </w:rPr>
              <w:t>, využití stejného obslužného software</w:t>
            </w:r>
            <w:r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</w:rPr>
              <w:t>middelware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  <w:r w:rsidRPr="000309FA">
              <w:rPr>
                <w:rFonts w:asciiTheme="majorHAnsi" w:hAnsiTheme="majorHAnsi" w:cstheme="majorHAnsi"/>
              </w:rPr>
              <w:t xml:space="preserve"> pro zjednodušení zastupitelnosti obsluhy</w:t>
            </w:r>
            <w:r>
              <w:rPr>
                <w:rStyle w:val="Odkaznakoment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52D0AE" w14:textId="77777777" w:rsidR="002B1015" w:rsidRPr="00A644FA" w:rsidRDefault="002B1015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1C9841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099E9A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D163B22" w14:textId="77777777" w:rsidR="002B1015" w:rsidRPr="00A644FA" w:rsidRDefault="002B1015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D4112A8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CB5F" w14:textId="0FA1DCD6" w:rsidR="006A273F" w:rsidRPr="00CD54A1" w:rsidRDefault="006A273F" w:rsidP="00CD54A1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M</w:t>
            </w:r>
            <w:r w:rsidR="00CD54A1" w:rsidRPr="00CD54A1">
              <w:rPr>
                <w:rFonts w:asciiTheme="majorHAnsi" w:hAnsiTheme="majorHAnsi" w:cstheme="majorHAnsi"/>
              </w:rPr>
              <w:t>odul</w:t>
            </w:r>
            <w:r w:rsidRPr="00CD54A1">
              <w:rPr>
                <w:rFonts w:asciiTheme="majorHAnsi" w:hAnsiTheme="majorHAnsi" w:cstheme="majorHAnsi"/>
              </w:rPr>
              <w:t xml:space="preserve"> musí být nov</w:t>
            </w:r>
            <w:r w:rsidR="00CD54A1" w:rsidRPr="00CD54A1">
              <w:rPr>
                <w:rFonts w:asciiTheme="majorHAnsi" w:hAnsiTheme="majorHAnsi" w:cstheme="majorHAnsi"/>
              </w:rPr>
              <w:t>ý, nepoužitý</w:t>
            </w:r>
            <w:r w:rsidRPr="00CD54A1">
              <w:rPr>
                <w:rFonts w:asciiTheme="majorHAnsi" w:hAnsiTheme="majorHAnsi" w:cstheme="majorHAnsi"/>
              </w:rPr>
              <w:t>, nerepasovan</w:t>
            </w:r>
            <w:r w:rsidR="00CD54A1" w:rsidRPr="00CD54A1">
              <w:rPr>
                <w:rFonts w:asciiTheme="majorHAnsi" w:hAnsiTheme="majorHAnsi" w:cstheme="majorHAnsi"/>
              </w:rPr>
              <w:t>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A2BC2C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19DAD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74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0E723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8A1D891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36CB" w14:textId="687AF7ED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Automatický hematologický analyzátor s podavačem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501617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6C2C1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E3A5D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15D701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007D25E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21A5" w14:textId="0A7CD6A1" w:rsidR="006A273F" w:rsidRPr="00CD54A1" w:rsidRDefault="006A273F" w:rsidP="00CD54A1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Shodný princip měření s</w:t>
            </w:r>
            <w:r w:rsidR="00CD54A1">
              <w:rPr>
                <w:rFonts w:asciiTheme="majorHAnsi" w:hAnsiTheme="majorHAnsi" w:cstheme="majorHAnsi"/>
              </w:rPr>
              <w:t>e záložním</w:t>
            </w:r>
            <w:r w:rsidR="00845AD0" w:rsidRPr="00CD54A1">
              <w:rPr>
                <w:rFonts w:asciiTheme="majorHAnsi" w:hAnsiTheme="majorHAnsi" w:cstheme="majorHAnsi"/>
              </w:rPr>
              <w:t> </w:t>
            </w:r>
            <w:r w:rsidRPr="00CD54A1">
              <w:rPr>
                <w:rFonts w:asciiTheme="majorHAnsi" w:hAnsiTheme="majorHAnsi" w:cstheme="majorHAnsi"/>
              </w:rPr>
              <w:t>analyzátorem</w:t>
            </w:r>
            <w:r w:rsidR="00845AD0" w:rsidRPr="00CD54A1">
              <w:rPr>
                <w:rFonts w:asciiTheme="majorHAnsi" w:hAnsiTheme="majorHAnsi" w:cstheme="majorHAnsi"/>
              </w:rPr>
              <w:t xml:space="preserve"> použitým na </w:t>
            </w:r>
            <w:r w:rsidR="00845AD0" w:rsidRPr="00CD54A1">
              <w:rPr>
                <w:rFonts w:asciiTheme="majorHAnsi" w:hAnsiTheme="majorHAnsi" w:cstheme="majorHAnsi"/>
              </w:rPr>
              <w:lastRenderedPageBreak/>
              <w:t>oddělení hematologie</w:t>
            </w:r>
            <w:r w:rsidRPr="00CD54A1">
              <w:rPr>
                <w:rFonts w:asciiTheme="majorHAnsi" w:hAnsiTheme="majorHAnsi" w:cstheme="majorHAnsi"/>
              </w:rPr>
              <w:t xml:space="preserve"> </w:t>
            </w:r>
            <w:r w:rsidRPr="00CD54A1">
              <w:rPr>
                <w:rFonts w:asciiTheme="majorHAnsi" w:hAnsiTheme="majorHAnsi" w:cstheme="majorHAnsi"/>
                <w:bCs/>
              </w:rPr>
              <w:t xml:space="preserve">- průtoková fluorescenční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cytometrie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F09D1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C6851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EDB7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B7B0D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8AF0733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3BF0" w14:textId="07E8B103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Nízký aspirační objem, maximálně 25 µl (kapilární odběry)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4663191" w14:textId="604170BC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inorHAnsi" w:hAnsiTheme="minorHAnsi" w:cstheme="minorHAnsi"/>
                <w:color w:val="000000" w:themeColor="text1"/>
              </w:rPr>
              <w:t xml:space="preserve">max. </w:t>
            </w:r>
            <w:r w:rsidRPr="00CD54A1">
              <w:rPr>
                <w:rFonts w:asciiTheme="majorHAnsi" w:hAnsiTheme="majorHAnsi" w:cstheme="majorHAnsi"/>
                <w:bCs/>
              </w:rPr>
              <w:t>25 µl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F8857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C85287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6E7C9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CBCC8F3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344" w14:textId="701E882B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Kapacita min. 50 vzorků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CD54A1">
              <w:rPr>
                <w:rFonts w:asciiTheme="majorHAnsi" w:hAnsiTheme="majorHAnsi" w:cstheme="majorHAnsi"/>
                <w:bCs/>
              </w:rPr>
              <w:t xml:space="preserve"> za hodinu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5964913" w14:textId="4AC6CAF9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min. 50 vzorků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  <w:r w:rsidRPr="00CD54A1">
              <w:rPr>
                <w:rFonts w:asciiTheme="majorHAnsi" w:hAnsiTheme="majorHAnsi" w:cstheme="majorHAnsi"/>
                <w:bCs/>
              </w:rPr>
              <w:t xml:space="preserve"> / hod.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7E41C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3AE745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6B3046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AD9F1B9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9C1C" w14:textId="5AA25A4E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 xml:space="preserve">Měření KO (krevního obrazu) samostatně, KO, KO + </w:t>
            </w:r>
            <w:proofErr w:type="spellStart"/>
            <w:r w:rsidRPr="00CD54A1">
              <w:rPr>
                <w:rFonts w:asciiTheme="majorHAnsi" w:hAnsiTheme="majorHAnsi" w:cstheme="majorHAnsi"/>
                <w:bCs/>
              </w:rPr>
              <w:t>dif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ABADF9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E3DF9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B9D1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E679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3D2297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CB63" w14:textId="453EA6AE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Systém lze rozšířit o další módy měření (retikulocyty)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3279E5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7B135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A2DA6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A2B3A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C2DB3F3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D659" w14:textId="183C7490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Monitoring hladiny reagencií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5DCDF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B2D7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F92C6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52A8B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C97AC6D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B3C5" w14:textId="43100CDF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Obousměrná komunikace s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E555EC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1E11E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A1BC9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2CC8F0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63AFDAC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DCAC" w14:textId="77C66991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  <w:bCs/>
              </w:rPr>
              <w:t>Software pro interní QC (kvalitu kontroly</w:t>
            </w:r>
            <w:r w:rsidR="003F5651">
              <w:rPr>
                <w:rFonts w:asciiTheme="majorHAnsi" w:hAnsiTheme="majorHAnsi" w:cstheme="majorHAnsi"/>
                <w:bCs/>
              </w:rPr>
              <w:t>) + statistické vyhodnocení (L-J</w:t>
            </w:r>
            <w:r w:rsidRPr="00CD54A1">
              <w:rPr>
                <w:rFonts w:asciiTheme="majorHAnsi" w:hAnsiTheme="majorHAnsi" w:cstheme="majorHAnsi"/>
                <w:bCs/>
              </w:rPr>
              <w:t>, X-B)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277EC3" w14:textId="77777777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36D53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9F22D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4081C8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9B2DCD7" w14:textId="77777777" w:rsidTr="00FF5479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CEDB" w14:textId="727A9305" w:rsidR="006A273F" w:rsidRPr="00FF5479" w:rsidRDefault="006A273F" w:rsidP="0098283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82833">
              <w:rPr>
                <w:rFonts w:asciiTheme="majorHAnsi" w:hAnsiTheme="majorHAnsi" w:cstheme="majorHAnsi"/>
                <w:bCs/>
              </w:rPr>
              <w:t xml:space="preserve">Zajištění vzdáleného přístupu servisu viz </w:t>
            </w:r>
            <w:r w:rsidR="00982833" w:rsidRPr="00982833">
              <w:rPr>
                <w:rFonts w:asciiTheme="majorHAnsi" w:hAnsiTheme="majorHAnsi" w:cstheme="majorHAnsi"/>
              </w:rPr>
              <w:t>Příloha č. 2 ZD Technické podmínky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828165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2AAF7B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EE73F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E372A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97A906C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9814" w14:textId="4C255084" w:rsidR="006A273F" w:rsidRPr="00FF5479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 xml:space="preserve">Stanovované parametry: WBC, RBC, HGB, HCT, MCV, MCH, MCHC, PLT,RDW-SD,  RDW-CV, PDW, MPV, PCT, P-LCR, NEUT(% i absolutně), LYMPH(% i absolutně), </w:t>
            </w:r>
            <w:proofErr w:type="gramStart"/>
            <w:r w:rsidRPr="00CD54A1">
              <w:rPr>
                <w:rFonts w:asciiTheme="majorHAnsi" w:hAnsiTheme="majorHAnsi" w:cstheme="majorHAnsi"/>
              </w:rPr>
              <w:t>MONO(% i absolutně</w:t>
            </w:r>
            <w:proofErr w:type="gramEnd"/>
            <w:r w:rsidRPr="00CD54A1">
              <w:rPr>
                <w:rFonts w:asciiTheme="majorHAnsi" w:hAnsiTheme="majorHAnsi" w:cstheme="majorHAnsi"/>
              </w:rPr>
              <w:t>), EO(% i absolutně), BASO(% i absolutně), IG(% i absolutně)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9E106E" w14:textId="77777777" w:rsidR="006A273F" w:rsidRPr="00A644FA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E92BA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C310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032D74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FA0B216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D05A" w14:textId="54869C10" w:rsidR="006A273F" w:rsidRPr="00CD54A1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Databáze dostupných výsledků  min. 10 000 záznamů při možnosti zálohy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5060ACD" w14:textId="32F98463" w:rsidR="006A273F" w:rsidRPr="00CD54A1" w:rsidRDefault="006A273F" w:rsidP="006A273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D54A1">
              <w:rPr>
                <w:rFonts w:asciiTheme="majorHAnsi" w:hAnsiTheme="majorHAnsi" w:cstheme="majorHAnsi"/>
              </w:rPr>
              <w:t>min. 10 000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3D928D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D00E68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98667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70B34" w:rsidRPr="00A644FA" w14:paraId="52BA3B32" w14:textId="77777777" w:rsidTr="007A148C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E57D" w14:textId="13EB6E9F" w:rsidR="00770B34" w:rsidRPr="003F5651" w:rsidRDefault="00770B34" w:rsidP="003F21F3">
            <w:pPr>
              <w:jc w:val="both"/>
              <w:rPr>
                <w:rFonts w:asciiTheme="majorHAnsi" w:hAnsiTheme="majorHAnsi" w:cstheme="majorHAnsi"/>
              </w:rPr>
            </w:pPr>
            <w:r w:rsidRPr="003F5651">
              <w:rPr>
                <w:rFonts w:asciiTheme="majorHAnsi" w:hAnsiTheme="majorHAnsi" w:cstheme="majorHAnsi"/>
              </w:rPr>
              <w:t xml:space="preserve">Max. rozměry analyzátoru krevních buněk [mm] </w:t>
            </w:r>
            <w:r w:rsidR="003F21F3" w:rsidRPr="003F5651">
              <w:rPr>
                <w:rFonts w:asciiTheme="majorHAnsi" w:hAnsiTheme="majorHAnsi" w:cstheme="majorHAnsi"/>
              </w:rPr>
              <w:t>500 x 700 (š x 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8ED8FA" w14:textId="58AB5C79" w:rsidR="00770B34" w:rsidRPr="00CD54A1" w:rsidRDefault="00525D20" w:rsidP="006A273F">
            <w:pPr>
              <w:spacing w:before="0" w:after="0"/>
              <w:jc w:val="center"/>
              <w:rPr>
                <w:rFonts w:asciiTheme="majorHAnsi" w:hAnsiTheme="majorHAnsi" w:cstheme="majorHAnsi"/>
              </w:rPr>
            </w:pPr>
            <w:r w:rsidRPr="00084EE1">
              <w:rPr>
                <w:rFonts w:asciiTheme="majorHAnsi" w:hAnsiTheme="majorHAnsi" w:cstheme="majorHAnsi"/>
              </w:rPr>
              <w:t>Max.</w:t>
            </w:r>
            <w:r w:rsidR="003F21F3" w:rsidRPr="00084EE1">
              <w:rPr>
                <w:rFonts w:asciiTheme="majorHAnsi" w:hAnsiTheme="majorHAnsi" w:cstheme="majorHAnsi"/>
              </w:rPr>
              <w:t xml:space="preserve"> 500 x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226F697" w14:textId="77777777" w:rsidR="00770B34" w:rsidRPr="00A644FA" w:rsidRDefault="00770B34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BCEDDCB" w14:textId="77777777" w:rsidR="00770B34" w:rsidRPr="00A644FA" w:rsidRDefault="00770B34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1F6D8A" w14:textId="77777777" w:rsidR="00770B34" w:rsidRPr="00A644FA" w:rsidRDefault="00770B34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AC8BCE" w14:textId="76218693" w:rsidTr="00AC5B9A">
        <w:trPr>
          <w:trHeight w:val="85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B4A1" w14:textId="303CFCE9" w:rsidR="006A273F" w:rsidRPr="00D776F0" w:rsidRDefault="006A273F" w:rsidP="006A273F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 xml:space="preserve">Společné požadavky pro všechny analyzátory </w:t>
            </w:r>
            <w:r w:rsidR="004B3ED0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>(Oddělení hematologie a Odběrové centrum)</w:t>
            </w:r>
          </w:p>
        </w:tc>
      </w:tr>
      <w:tr w:rsidR="006A273F" w:rsidRPr="00A644FA" w14:paraId="2B036D1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0107" w14:textId="5D04EE7C" w:rsidR="006A273F" w:rsidRDefault="0023244C" w:rsidP="006A273F">
            <w:pPr>
              <w:jc w:val="both"/>
              <w:rPr>
                <w:rFonts w:asciiTheme="majorHAnsi" w:hAnsiTheme="majorHAnsi" w:cstheme="majorHAnsi"/>
              </w:rPr>
            </w:pPr>
            <w:r w:rsidRPr="0023244C">
              <w:rPr>
                <w:rFonts w:asciiTheme="majorHAnsi" w:hAnsiTheme="majorHAnsi" w:cstheme="majorHAnsi"/>
                <w:color w:val="FF0000"/>
              </w:rPr>
              <w:t xml:space="preserve">Shodné složení reagencií a shodná  interní kontrola kvality pro analyzátory krevních buněk v lince, záložního systému a systému na Odběrovém centru. Nutná plná kompatibilita reagencií u samostatného analyzátoru na Odběrovém centru a </w:t>
            </w:r>
            <w:r w:rsidRPr="0023244C">
              <w:rPr>
                <w:rFonts w:asciiTheme="majorHAnsi" w:hAnsiTheme="majorHAnsi" w:cstheme="majorHAnsi"/>
                <w:color w:val="FF0000"/>
              </w:rPr>
              <w:lastRenderedPageBreak/>
              <w:t>záložního analyz</w:t>
            </w:r>
            <w:bookmarkStart w:id="1" w:name="_GoBack"/>
            <w:bookmarkEnd w:id="1"/>
            <w:r w:rsidRPr="0023244C">
              <w:rPr>
                <w:rFonts w:asciiTheme="majorHAnsi" w:hAnsiTheme="majorHAnsi" w:cstheme="majorHAnsi"/>
                <w:color w:val="FF0000"/>
              </w:rPr>
              <w:t>átoru na Oddělení hematologie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CF51FF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895F3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1637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95207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C2467F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2D15" w14:textId="2B4F2BC0" w:rsidR="006A273F" w:rsidRPr="00091EA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Musí umožňovat s</w:t>
            </w:r>
            <w:r w:rsidRPr="00F35EF0">
              <w:rPr>
                <w:rFonts w:asciiTheme="majorHAnsi" w:hAnsiTheme="majorHAnsi" w:cstheme="majorHAnsi"/>
              </w:rPr>
              <w:t xml:space="preserve">tanovení krevního obrazu, vyšetření </w:t>
            </w:r>
            <w:proofErr w:type="spellStart"/>
            <w:r>
              <w:rPr>
                <w:rFonts w:asciiTheme="majorHAnsi" w:hAnsiTheme="majorHAnsi" w:cstheme="majorHAnsi"/>
              </w:rPr>
              <w:t>šesti</w:t>
            </w:r>
            <w:r w:rsidRPr="00F35EF0">
              <w:rPr>
                <w:rFonts w:asciiTheme="majorHAnsi" w:hAnsiTheme="majorHAnsi" w:cstheme="majorHAnsi"/>
              </w:rPr>
              <w:t>populačního</w:t>
            </w:r>
            <w:proofErr w:type="spellEnd"/>
            <w:r w:rsidRPr="00F35EF0">
              <w:rPr>
                <w:rFonts w:asciiTheme="majorHAnsi" w:hAnsiTheme="majorHAnsi" w:cstheme="majorHAnsi"/>
              </w:rPr>
              <w:t xml:space="preserve"> diferenciálního rozpočtu leukocytů (včetně diferenciace a kvantifikace populace nezralých granulocy</w:t>
            </w:r>
            <w:r>
              <w:rPr>
                <w:rFonts w:asciiTheme="majorHAnsi" w:hAnsiTheme="majorHAnsi" w:cstheme="majorHAnsi"/>
              </w:rPr>
              <w:t>tů)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627DA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7A853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54A4B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0846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DDC5BBD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BEA3" w14:textId="36875F3E" w:rsidR="006A273F" w:rsidRPr="00091EA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Musí umožňovat </w:t>
            </w:r>
            <w:r w:rsidRPr="00F35EF0">
              <w:rPr>
                <w:rFonts w:asciiTheme="majorHAnsi" w:hAnsiTheme="majorHAnsi" w:cstheme="majorHAnsi"/>
              </w:rPr>
              <w:t>analýz</w:t>
            </w:r>
            <w:r>
              <w:rPr>
                <w:rFonts w:asciiTheme="majorHAnsi" w:hAnsiTheme="majorHAnsi" w:cstheme="majorHAnsi"/>
              </w:rPr>
              <w:t>u</w:t>
            </w:r>
            <w:r w:rsidRPr="00F35EF0">
              <w:rPr>
                <w:rFonts w:asciiTheme="majorHAnsi" w:hAnsiTheme="majorHAnsi" w:cstheme="majorHAnsi"/>
              </w:rPr>
              <w:t xml:space="preserve"> trombocytopenických i leukopenických vzorků, včetně vydání výsledku dif</w:t>
            </w:r>
            <w:r>
              <w:rPr>
                <w:rFonts w:asciiTheme="majorHAnsi" w:hAnsiTheme="majorHAnsi" w:cstheme="majorHAnsi"/>
              </w:rPr>
              <w:t>erenciálního rozpočtu leukocytů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CC5825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5E50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479AA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7060AE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749294F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9C26" w14:textId="79DEF1B8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D17240">
              <w:rPr>
                <w:rFonts w:asciiTheme="majorHAnsi" w:hAnsiTheme="majorHAnsi" w:cstheme="majorHAnsi"/>
              </w:rPr>
              <w:t>nalyzátory krevního obrazu musí pro základní stanovení trombocytů (PLT) používat stejný detekční princip z důvodu nutnosti vzájemné reprodukovatelnosti výsledků vyšetřovaných v denním provozu a na pohotovostních službách i pro případ využití jako zálohy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A35516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0433C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439D8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1FF396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87082C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4047" w14:textId="46178C56" w:rsidR="006A273F" w:rsidRDefault="006A273F" w:rsidP="003656C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 xml:space="preserve">lespoň jeden analyzátor </w:t>
            </w:r>
            <w:r w:rsidR="003656C8">
              <w:rPr>
                <w:rFonts w:asciiTheme="majorHAnsi" w:hAnsiTheme="majorHAnsi" w:cstheme="majorHAnsi"/>
              </w:rPr>
              <w:t xml:space="preserve">na oddělení hematologie (tento požadavek se netýká Odběrového centra) </w:t>
            </w:r>
            <w:r w:rsidRPr="00567B06">
              <w:rPr>
                <w:rFonts w:asciiTheme="majorHAnsi" w:hAnsiTheme="majorHAnsi" w:cstheme="majorHAnsi"/>
              </w:rPr>
              <w:t>musí</w:t>
            </w:r>
            <w:r w:rsidRPr="00F35EF0">
              <w:rPr>
                <w:rFonts w:asciiTheme="majorHAnsi" w:hAnsiTheme="majorHAnsi" w:cstheme="majorHAnsi"/>
              </w:rPr>
              <w:t xml:space="preserve"> umožnit alternativní stanovení hemoglobinu v erytrocytech v případě interference měření standardní (fotometrickou) metodou. Analýza z primárních zkumavek a bez nutn</w:t>
            </w:r>
            <w:r>
              <w:rPr>
                <w:rFonts w:asciiTheme="majorHAnsi" w:hAnsiTheme="majorHAnsi" w:cstheme="majorHAnsi"/>
              </w:rPr>
              <w:t>osti manuálního zásahu obsluhou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01BE02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E320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711C8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86010C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5189E4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EA93" w14:textId="424CD61C" w:rsidR="006A273F" w:rsidRPr="00F35EF0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Musí umožňovat</w:t>
            </w:r>
            <w:r w:rsidRPr="00296259">
              <w:rPr>
                <w:rFonts w:asciiTheme="majorHAnsi" w:hAnsiTheme="majorHAnsi" w:cstheme="majorHAnsi"/>
              </w:rPr>
              <w:t xml:space="preserve"> použití primárních odběrových zkumavek běžně dostupných na českém trhu, určených pro odběr krve na vyšetření krevního obrazu</w:t>
            </w:r>
            <w:r>
              <w:rPr>
                <w:rFonts w:asciiTheme="majorHAnsi" w:hAnsiTheme="majorHAnsi" w:cstheme="majorHAnsi"/>
              </w:rPr>
              <w:t>,</w:t>
            </w:r>
            <w:r w:rsidRPr="00296259">
              <w:rPr>
                <w:rFonts w:asciiTheme="majorHAnsi" w:hAnsiTheme="majorHAnsi" w:cstheme="majorHAnsi"/>
              </w:rPr>
              <w:t xml:space="preserve"> včetně zkumavek pro odběr pediatrických vzorků a kapilární krve pro každý z požadovaných parametrů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72ECC1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F1A2C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FE46A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E9E59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145DE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85B0" w14:textId="120FE76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 xml:space="preserve">nalyzátory krevního obrazu musí umožňovat provedení analýzy z různých druhů odběrových zkumavek včetně </w:t>
            </w:r>
            <w:proofErr w:type="spellStart"/>
            <w:r w:rsidRPr="00567B06">
              <w:rPr>
                <w:rFonts w:asciiTheme="majorHAnsi" w:hAnsiTheme="majorHAnsi" w:cstheme="majorHAnsi"/>
              </w:rPr>
              <w:t>mikrozkumavek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B769F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27288C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F5298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722F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6DAF4C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F0E5" w14:textId="5916028C" w:rsidR="006A273F" w:rsidRPr="00567B06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567B06">
              <w:rPr>
                <w:rFonts w:asciiTheme="majorHAnsi" w:hAnsiTheme="majorHAnsi" w:cstheme="majorHAnsi"/>
              </w:rPr>
              <w:t>nalyzátory krevního obrazu musí umožňovat provedení analýzy z uzavřené i otevřené zkumavky stejnou aspirační cestou</w:t>
            </w:r>
          </w:p>
          <w:p w14:paraId="5EF1D242" w14:textId="77777777" w:rsidR="006A273F" w:rsidRPr="00B45E7B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1C056A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08B2B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BDC09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69363F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ED5BCD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630" w14:textId="33B350B5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2404B">
              <w:rPr>
                <w:rFonts w:asciiTheme="majorHAnsi" w:hAnsiTheme="majorHAnsi" w:cstheme="majorHAnsi"/>
              </w:rPr>
              <w:t>utomatick</w:t>
            </w:r>
            <w:r>
              <w:rPr>
                <w:rFonts w:asciiTheme="majorHAnsi" w:hAnsiTheme="majorHAnsi" w:cstheme="majorHAnsi"/>
              </w:rPr>
              <w:t>á</w:t>
            </w:r>
            <w:r w:rsidRPr="00A2404B">
              <w:rPr>
                <w:rFonts w:asciiTheme="majorHAnsi" w:hAnsiTheme="majorHAnsi" w:cstheme="majorHAnsi"/>
              </w:rPr>
              <w:t xml:space="preserve"> homogenizac</w:t>
            </w:r>
            <w:r>
              <w:rPr>
                <w:rFonts w:asciiTheme="majorHAnsi" w:hAnsiTheme="majorHAnsi" w:cstheme="majorHAnsi"/>
              </w:rPr>
              <w:t>e</w:t>
            </w:r>
            <w:r w:rsidRPr="00296259">
              <w:rPr>
                <w:rFonts w:asciiTheme="majorHAnsi" w:hAnsiTheme="majorHAnsi" w:cstheme="majorHAnsi"/>
              </w:rPr>
              <w:t xml:space="preserve"> vzorků před aspirací v uzavřeném modu (například několikanásobným obrácením </w:t>
            </w:r>
            <w:r>
              <w:rPr>
                <w:rFonts w:asciiTheme="majorHAnsi" w:hAnsiTheme="majorHAnsi" w:cstheme="majorHAnsi"/>
              </w:rPr>
              <w:t xml:space="preserve">každé </w:t>
            </w:r>
            <w:r w:rsidRPr="00296259">
              <w:rPr>
                <w:rFonts w:asciiTheme="majorHAnsi" w:hAnsiTheme="majorHAnsi" w:cstheme="majorHAnsi"/>
              </w:rPr>
              <w:lastRenderedPageBreak/>
              <w:t xml:space="preserve">zkumavky </w:t>
            </w:r>
            <w:r>
              <w:rPr>
                <w:rFonts w:asciiTheme="majorHAnsi" w:hAnsiTheme="majorHAnsi" w:cstheme="majorHAnsi"/>
              </w:rPr>
              <w:t xml:space="preserve">individuálně </w:t>
            </w:r>
            <w:r w:rsidRPr="00296259">
              <w:rPr>
                <w:rFonts w:asciiTheme="majorHAnsi" w:hAnsiTheme="majorHAnsi" w:cstheme="majorHAnsi"/>
              </w:rPr>
              <w:t>dnem vzhůru a zpět</w:t>
            </w:r>
            <w:r>
              <w:rPr>
                <w:rFonts w:asciiTheme="majorHAnsi" w:hAnsiTheme="majorHAnsi" w:cstheme="majorHAnsi"/>
              </w:rPr>
              <w:t>, nikoliv ve stojánku po více zkumavkách</w:t>
            </w:r>
            <w:r w:rsidRPr="0029625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E7606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527BB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6072B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21DDD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EB53B7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B494" w14:textId="22EC7F39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Analyzátory musí být schopny detekce hladiny vzorku.</w:t>
            </w:r>
            <w:r w:rsidR="003656C8" w:rsidRPr="003656C8">
              <w:rPr>
                <w:rFonts w:asciiTheme="majorHAnsi" w:hAnsiTheme="majorHAnsi" w:cstheme="majorHAnsi"/>
              </w:rPr>
              <w:t xml:space="preserve"> V případě nedostatečného objemu vzorku, nasátí bubliny či sraženiny musí analyzátor bezprostředně vydat chybové upozornění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C65F7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5493FE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2676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94ACC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E845A5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088C" w14:textId="5730B216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 xml:space="preserve">Systém chybových hlášek upozorňujících na suspektní shluky trombocytů, </w:t>
            </w:r>
            <w:proofErr w:type="spellStart"/>
            <w:r w:rsidRPr="003656C8">
              <w:rPr>
                <w:rFonts w:asciiTheme="majorHAnsi" w:hAnsiTheme="majorHAnsi" w:cstheme="majorHAnsi"/>
              </w:rPr>
              <w:t>makrotrombocyty</w:t>
            </w:r>
            <w:proofErr w:type="spellEnd"/>
            <w:r w:rsidRPr="003656C8">
              <w:rPr>
                <w:rFonts w:asciiTheme="majorHAnsi" w:hAnsiTheme="majorHAnsi" w:cstheme="majorHAnsi"/>
              </w:rPr>
              <w:t xml:space="preserve">, posun doleva, přítomnost </w:t>
            </w:r>
            <w:proofErr w:type="spellStart"/>
            <w:r w:rsidRPr="003656C8">
              <w:rPr>
                <w:rFonts w:asciiTheme="majorHAnsi" w:hAnsiTheme="majorHAnsi" w:cstheme="majorHAnsi"/>
              </w:rPr>
              <w:t>blastů</w:t>
            </w:r>
            <w:proofErr w:type="spellEnd"/>
            <w:r w:rsidRPr="003656C8">
              <w:rPr>
                <w:rFonts w:asciiTheme="majorHAnsi" w:hAnsiTheme="majorHAnsi" w:cstheme="majorHAnsi"/>
              </w:rPr>
              <w:t>, atypických lymfocytů ev. další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C0C8FD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4EB5B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B27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BC9245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FBD3E9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AAA7" w14:textId="2058E18E" w:rsidR="006A273F" w:rsidRDefault="006A273F" w:rsidP="006A273F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F35EF0">
              <w:rPr>
                <w:rFonts w:asciiTheme="majorHAnsi" w:hAnsiTheme="majorHAnsi" w:cstheme="majorHAnsi"/>
              </w:rPr>
              <w:t>lektronický management reagencií (</w:t>
            </w:r>
            <w:proofErr w:type="spellStart"/>
            <w:r w:rsidRPr="00F35EF0">
              <w:rPr>
                <w:rFonts w:asciiTheme="majorHAnsi" w:hAnsiTheme="majorHAnsi" w:cstheme="majorHAnsi"/>
              </w:rPr>
              <w:t>dohledatelnost</w:t>
            </w:r>
            <w:proofErr w:type="spellEnd"/>
            <w:r w:rsidRPr="00F35EF0">
              <w:rPr>
                <w:rFonts w:asciiTheme="majorHAnsi" w:hAnsiTheme="majorHAnsi" w:cstheme="majorHAnsi"/>
              </w:rPr>
              <w:t xml:space="preserve"> použitých</w:t>
            </w:r>
            <w:r>
              <w:rPr>
                <w:rFonts w:asciiTheme="majorHAnsi" w:hAnsiTheme="majorHAnsi" w:cstheme="majorHAnsi"/>
              </w:rPr>
              <w:t xml:space="preserve">  </w:t>
            </w:r>
            <w:r w:rsidRPr="00F35EF0">
              <w:rPr>
                <w:rFonts w:asciiTheme="majorHAnsi" w:hAnsiTheme="majorHAnsi" w:cstheme="majorHAnsi"/>
              </w:rPr>
              <w:t xml:space="preserve"> reagencií a činností obsluhy, sledování spotřeby a ex</w:t>
            </w:r>
            <w:r>
              <w:rPr>
                <w:rFonts w:asciiTheme="majorHAnsi" w:hAnsiTheme="majorHAnsi" w:cstheme="majorHAnsi"/>
              </w:rPr>
              <w:t>spirace jednotlivých reagencií)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2FC7D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11A6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2D1C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9AAFD1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725D11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CFF6" w14:textId="0DDC0912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 xml:space="preserve">Software řídící automatické zpracování vzorku dle demografických dat, srovnání aktuálních a předchozích výsledků pacienta (tzv. delta </w:t>
            </w:r>
            <w:proofErr w:type="spellStart"/>
            <w:r w:rsidRPr="003656C8">
              <w:rPr>
                <w:rFonts w:asciiTheme="majorHAnsi" w:hAnsiTheme="majorHAnsi" w:cstheme="majorHAnsi"/>
              </w:rPr>
              <w:t>check</w:t>
            </w:r>
            <w:proofErr w:type="spellEnd"/>
            <w:r w:rsidRPr="003656C8">
              <w:rPr>
                <w:rFonts w:asciiTheme="majorHAnsi" w:hAnsiTheme="majorHAnsi" w:cstheme="majorHAnsi"/>
              </w:rPr>
              <w:t>) a kontrolující technické podmínky analýzy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0FB88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26FAA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6B53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481805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C7ACC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4D5D" w14:textId="44F01E3A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Software pro zálohování a následné zpřístupnění primárních dat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408F6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C91E4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9A9DA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D9F493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B60E26B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3650" w14:textId="66E57E04" w:rsidR="006A273F" w:rsidRDefault="006A273F" w:rsidP="006A273F">
            <w:pPr>
              <w:jc w:val="both"/>
              <w:rPr>
                <w:rFonts w:asciiTheme="majorHAnsi" w:hAnsiTheme="majorHAnsi" w:cstheme="majorHAnsi"/>
                <w:highlight w:val="green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F35EF0">
              <w:rPr>
                <w:rFonts w:asciiTheme="majorHAnsi" w:hAnsiTheme="majorHAnsi" w:cstheme="majorHAnsi"/>
              </w:rPr>
              <w:t xml:space="preserve">adání uživatelských přístupových práv a </w:t>
            </w:r>
            <w:proofErr w:type="spellStart"/>
            <w:r>
              <w:rPr>
                <w:rFonts w:asciiTheme="majorHAnsi" w:hAnsiTheme="majorHAnsi" w:cstheme="majorHAnsi"/>
              </w:rPr>
              <w:t>dohledatelnost</w:t>
            </w:r>
            <w:proofErr w:type="spellEnd"/>
            <w:r>
              <w:rPr>
                <w:rFonts w:asciiTheme="majorHAnsi" w:hAnsiTheme="majorHAnsi" w:cstheme="majorHAnsi"/>
              </w:rPr>
              <w:t xml:space="preserve"> činností obsluhy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7415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F2EC9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96A4C7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04709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1F017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7176" w14:textId="3E139C3E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Možnost automatické validace výsledků nastavenými uživatelskými pravidly a možností on-line propojení analyzátorů a kontrolu jednotlivých činností prostřednictvím speciálního vyhodnocovacího SW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DE9D6D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4A251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7E53B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D5ED50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7F1ACE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65E3" w14:textId="426CE068" w:rsidR="006A273F" w:rsidRPr="003656C8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3656C8">
              <w:rPr>
                <w:rFonts w:asciiTheme="majorHAnsi" w:hAnsiTheme="majorHAnsi" w:cstheme="majorHAnsi"/>
              </w:rPr>
              <w:t>Analyzátory musí mít čtečky čár</w:t>
            </w:r>
            <w:r w:rsidR="00C54500">
              <w:rPr>
                <w:rFonts w:asciiTheme="majorHAnsi" w:hAnsiTheme="majorHAnsi" w:cstheme="majorHAnsi"/>
              </w:rPr>
              <w:t>ových kódů – vestavěnou i ruční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F2601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5D867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FD100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F5B986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2852DB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73F1" w14:textId="36EDCAAD" w:rsidR="006A273F" w:rsidRPr="00A02E53" w:rsidRDefault="006A273F" w:rsidP="009B4AF2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4B3ED0">
              <w:rPr>
                <w:rFonts w:asciiTheme="majorHAnsi" w:hAnsiTheme="majorHAnsi" w:cstheme="majorHAnsi"/>
              </w:rPr>
              <w:t>Každý z analyzátorů pro vyšetření krevního obrazu musí být vybaven interní a externí čtečkou čárových kódů, PC s příslušným softwarovým vybavením, myší, klávesnicí,</w:t>
            </w:r>
            <w:r w:rsidR="009B4AF2">
              <w:rPr>
                <w:rFonts w:asciiTheme="majorHAnsi" w:hAnsiTheme="majorHAnsi" w:cstheme="majorHAnsi"/>
              </w:rPr>
              <w:t xml:space="preserve"> v případě potřeby také</w:t>
            </w:r>
            <w:r w:rsidRPr="004B3ED0">
              <w:rPr>
                <w:rFonts w:asciiTheme="majorHAnsi" w:hAnsiTheme="majorHAnsi" w:cstheme="majorHAnsi"/>
              </w:rPr>
              <w:t xml:space="preserve"> </w:t>
            </w:r>
            <w:r w:rsidR="009B4AF2">
              <w:rPr>
                <w:rFonts w:asciiTheme="majorHAnsi" w:hAnsiTheme="majorHAnsi" w:cstheme="majorHAnsi"/>
              </w:rPr>
              <w:t xml:space="preserve">dotykovým monitorem, </w:t>
            </w:r>
            <w:r w:rsidRPr="004B3ED0">
              <w:rPr>
                <w:rFonts w:asciiTheme="majorHAnsi" w:hAnsiTheme="majorHAnsi" w:cstheme="majorHAnsi"/>
              </w:rPr>
              <w:t>UPS a eventuálně dalším příslušenstvím nezbytným pro provoz</w:t>
            </w:r>
            <w:r w:rsidR="009B4AF2">
              <w:rPr>
                <w:rFonts w:asciiTheme="majorHAnsi" w:hAnsiTheme="majorHAnsi" w:cstheme="majorHAnsi"/>
              </w:rPr>
              <w:t xml:space="preserve"> vč. </w:t>
            </w:r>
            <w:r w:rsidR="009B4AF2" w:rsidRPr="004B3ED0">
              <w:rPr>
                <w:rFonts w:asciiTheme="majorHAnsi" w:hAnsiTheme="majorHAnsi" w:cstheme="majorHAnsi"/>
              </w:rPr>
              <w:t>napojen</w:t>
            </w:r>
            <w:r w:rsidR="009B4AF2">
              <w:rPr>
                <w:rFonts w:asciiTheme="majorHAnsi" w:hAnsiTheme="majorHAnsi" w:cstheme="majorHAnsi"/>
              </w:rPr>
              <w:t>í</w:t>
            </w:r>
            <w:r w:rsidR="00C54500">
              <w:rPr>
                <w:rFonts w:asciiTheme="majorHAnsi" w:hAnsiTheme="majorHAnsi" w:cstheme="majorHAnsi"/>
              </w:rPr>
              <w:t xml:space="preserve"> na síťovou tiskárnu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C5A271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F5A43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AA94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C0337E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FF3F341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88E1" w14:textId="0467B86C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Linka, záložní systém </w:t>
            </w:r>
            <w:r w:rsidRPr="00665A60">
              <w:rPr>
                <w:rFonts w:asciiTheme="majorHAnsi" w:hAnsiTheme="majorHAnsi" w:cstheme="majorHAnsi"/>
              </w:rPr>
              <w:t xml:space="preserve">i analyzátor na </w:t>
            </w:r>
            <w:proofErr w:type="gramStart"/>
            <w:r w:rsidRPr="00665A60">
              <w:rPr>
                <w:rFonts w:asciiTheme="majorHAnsi" w:hAnsiTheme="majorHAnsi" w:cstheme="majorHAnsi"/>
              </w:rPr>
              <w:t>Odběrové</w:t>
            </w:r>
            <w:r>
              <w:rPr>
                <w:rFonts w:asciiTheme="majorHAnsi" w:hAnsiTheme="majorHAnsi" w:cstheme="majorHAnsi"/>
              </w:rPr>
              <w:t>m</w:t>
            </w:r>
            <w:proofErr w:type="gramEnd"/>
            <w:r w:rsidRPr="00665A60">
              <w:rPr>
                <w:rFonts w:asciiTheme="majorHAnsi" w:hAnsiTheme="majorHAnsi" w:cstheme="majorHAnsi"/>
              </w:rPr>
              <w:t xml:space="preserve"> centrum mu</w:t>
            </w:r>
            <w:r>
              <w:rPr>
                <w:rFonts w:asciiTheme="majorHAnsi" w:hAnsiTheme="majorHAnsi" w:cstheme="majorHAnsi"/>
              </w:rPr>
              <w:t xml:space="preserve">sí obsahovat automatický podavač vzorků, či jiný automatizovaný systém, který </w:t>
            </w:r>
            <w:r w:rsidRPr="00296259">
              <w:rPr>
                <w:rFonts w:asciiTheme="majorHAnsi" w:hAnsiTheme="majorHAnsi" w:cstheme="majorHAnsi"/>
              </w:rPr>
              <w:t xml:space="preserve">umožňuje kontinuální vkládání vzorků za chodu analyzátoru a přednostní zpracování a analýzu </w:t>
            </w:r>
            <w:proofErr w:type="spellStart"/>
            <w:r w:rsidRPr="00296259">
              <w:rPr>
                <w:rFonts w:asciiTheme="majorHAnsi" w:hAnsiTheme="majorHAnsi" w:cstheme="majorHAnsi"/>
              </w:rPr>
              <w:t>statimových</w:t>
            </w:r>
            <w:proofErr w:type="spellEnd"/>
            <w:r w:rsidRPr="00296259">
              <w:rPr>
                <w:rFonts w:asciiTheme="majorHAnsi" w:hAnsiTheme="majorHAnsi" w:cstheme="majorHAnsi"/>
              </w:rPr>
              <w:t xml:space="preserve"> vzorků.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0E145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2EA64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AD710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D693E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8F429B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A492" w14:textId="46C789B3" w:rsidR="006A273F" w:rsidRPr="004B3ED0" w:rsidRDefault="006A273F" w:rsidP="00326FFA">
            <w:pPr>
              <w:jc w:val="both"/>
              <w:rPr>
                <w:rFonts w:asciiTheme="majorHAnsi" w:hAnsiTheme="majorHAnsi" w:cstheme="majorHAnsi"/>
              </w:rPr>
            </w:pPr>
            <w:r w:rsidRPr="004B3ED0">
              <w:rPr>
                <w:rFonts w:asciiTheme="majorHAnsi" w:hAnsiTheme="majorHAnsi" w:cstheme="majorHAnsi"/>
              </w:rPr>
              <w:t xml:space="preserve">UPS musí svou kapacitou pokrýt čas nutný k doměření vzorků a řádnému vypnutí analyzátorů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763388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AA3AE9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6E9E7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2C133F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45B8105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4472" w14:textId="448448B8" w:rsidR="006A273F" w:rsidRPr="00804CFE" w:rsidRDefault="006A273F" w:rsidP="006A273F">
            <w:pPr>
              <w:jc w:val="both"/>
              <w:rPr>
                <w:rFonts w:asciiTheme="majorHAnsi" w:hAnsiTheme="majorHAnsi" w:cstheme="majorHAnsi"/>
                <w:highlight w:val="cyan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F35EF0">
              <w:rPr>
                <w:rFonts w:asciiTheme="majorHAnsi" w:hAnsiTheme="majorHAnsi" w:cstheme="majorHAnsi"/>
              </w:rPr>
              <w:t>ajištění neustálého internetového propojení všech analyzátorů se servisním střediskem, možnost dálkové správy s ohledem na dodržení GDPR. Zabezpečení dat za pomoci VPN bez účasti třetí strany. Dodržení podmínky zajištění, aby komunikace za použití VPN nebyla provozována přes servery mimo EU v rámci zabez</w:t>
            </w:r>
            <w:r>
              <w:rPr>
                <w:rFonts w:asciiTheme="majorHAnsi" w:hAnsiTheme="majorHAnsi" w:cstheme="majorHAnsi"/>
              </w:rPr>
              <w:t>pečení ochrany citlivých údajů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C7A5BB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2DA205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AD5E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8078A8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9D1C78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32F5" w14:textId="0B69744B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F35EF0">
              <w:rPr>
                <w:rFonts w:asciiTheme="majorHAnsi" w:hAnsiTheme="majorHAnsi" w:cstheme="majorHAnsi"/>
              </w:rPr>
              <w:t>šechny parametry specifikace dohledatelné v dokumentaci dodavatele analyzátoru (manuál v češtině umožňující do</w:t>
            </w:r>
            <w:r>
              <w:rPr>
                <w:rFonts w:asciiTheme="majorHAnsi" w:hAnsiTheme="majorHAnsi" w:cstheme="majorHAnsi"/>
              </w:rPr>
              <w:t>hledání všech parametrů analýz)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1D9633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D18216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C5740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F004E8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1CF5E44" w14:textId="77777777" w:rsidTr="00AC5B9A">
        <w:trPr>
          <w:trHeight w:val="761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9D18" w14:textId="184C0E77" w:rsidR="006A273F" w:rsidRPr="00A644FA" w:rsidRDefault="006A273F" w:rsidP="003F6195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A148C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>Požadavky na řídící SW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 xml:space="preserve"> - </w:t>
            </w:r>
            <w:r w:rsidRPr="007A148C">
              <w:rPr>
                <w:rFonts w:asciiTheme="majorHAnsi" w:hAnsiTheme="majorHAnsi" w:cstheme="majorHAnsi"/>
                <w:b/>
                <w:bCs/>
              </w:rPr>
              <w:t>Správa a řízení hematologické linky, záložního analyzátoru krevních buněk</w:t>
            </w:r>
            <w:r w:rsidR="004B3ED0">
              <w:rPr>
                <w:rFonts w:asciiTheme="majorHAnsi" w:hAnsiTheme="majorHAnsi" w:cstheme="majorHAnsi"/>
                <w:b/>
                <w:bCs/>
              </w:rPr>
              <w:t xml:space="preserve"> (Oddělení hematologie) a analyzátoru krevních buněk (Odběrové centrum)</w:t>
            </w:r>
            <w:r w:rsidRPr="007A148C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6A273F" w:rsidRPr="00A644FA" w14:paraId="141689E4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0CD6" w14:textId="1FD7745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3006D">
              <w:rPr>
                <w:rFonts w:asciiTheme="majorHAnsi" w:hAnsiTheme="majorHAnsi" w:cstheme="majorHAnsi"/>
              </w:rPr>
              <w:t>práva dat pacientů: možnost zobrazení demografických dat, organizačních dat (jméno lékaře, oddělení, komentáře), vkládání nových pacientů, vyhledávací funkce, sledování výsledků pacienta v čase,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135F68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4007C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62AF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5B13E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692B64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B535" w14:textId="06C3FD02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3006D">
              <w:rPr>
                <w:rFonts w:asciiTheme="majorHAnsi" w:hAnsiTheme="majorHAnsi" w:cstheme="majorHAnsi"/>
              </w:rPr>
              <w:t>obrazení kompletních informací o vzorku, komentářů ke vzorku včetně hlášení analyzátoru, kompletní výsledky včetně grafických dat, možnost vyhledávání podle čísla vzorku, jména pacienta,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096EA5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E6993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90B4B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C709862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8B7D4BF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B04B" w14:textId="560FA7E4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3006D">
              <w:rPr>
                <w:rFonts w:asciiTheme="majorHAnsi" w:hAnsiTheme="majorHAnsi" w:cstheme="majorHAnsi"/>
              </w:rPr>
              <w:t xml:space="preserve">SW pro nastavení uživatelsky definovatelných pravidel a jejich aktivace na základě předchozích výsledků za dané období (nikoliv pouze z posledního vzorku), nastavení pravidel s využitím specifických parametrů pacienta (diagnóza, oddělení, lékař), předání informací do LIS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7FE2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AE980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0C222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88746E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643A609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3195" w14:textId="5AC7F23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Z</w:t>
            </w:r>
            <w:r w:rsidRPr="0003006D">
              <w:rPr>
                <w:rFonts w:asciiTheme="majorHAnsi" w:hAnsiTheme="majorHAnsi" w:cstheme="majorHAnsi"/>
              </w:rPr>
              <w:t xml:space="preserve">obrazení seznamu vzorků, které během rutinní analýzy splnily kritérium pro vyžádání další operace podle SOP laboratoře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BCF86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93122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2CA15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B353B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8C7C937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37F4" w14:textId="3E854D46" w:rsidR="006A273F" w:rsidRPr="00081C4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81C43">
              <w:rPr>
                <w:rFonts w:asciiTheme="majorHAnsi" w:hAnsiTheme="majorHAnsi" w:cstheme="majorHAnsi"/>
              </w:rPr>
              <w:t>Možnost manuálního skenování a manuálního třídění vzorků podle zadaných kritérií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E57EA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FFA8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FA2B4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5C7A2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487B0E0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2367" w14:textId="7A9BE0F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03006D">
              <w:rPr>
                <w:rFonts w:asciiTheme="majorHAnsi" w:hAnsiTheme="majorHAnsi" w:cstheme="majorHAnsi"/>
              </w:rPr>
              <w:t>utomatická validace výsledků nastavenými uživatelskými pravidly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EF0FB2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39DB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96900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520C08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A521BEB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ACB" w14:textId="44C3E77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3006D">
              <w:rPr>
                <w:rFonts w:asciiTheme="majorHAnsi" w:hAnsiTheme="majorHAnsi" w:cstheme="majorHAnsi"/>
              </w:rPr>
              <w:t>ízení technické validace vzorků, které nesplnily kritéria pro automatické odeslání do LIS z důvodu nespolehlivosti měření, abnormálního výsledku a dalších kritérií podle SOP laboratoře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6052F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E5A77F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B8E9B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3EBDB8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0DDDA59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A16F" w14:textId="06FACEA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3006D">
              <w:rPr>
                <w:rFonts w:asciiTheme="majorHAnsi" w:hAnsiTheme="majorHAnsi" w:cstheme="majorHAnsi"/>
              </w:rPr>
              <w:t>ledování aktuálního stavu rutinní analýzy: registrované vzorky, vzorky v analytickém procesu, vzorky čekající na validaci, vzorky validované ale neodeslané do LIS, vzorky odeslané do LIS, výstrahy systému, stav komunikace, atd.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0CC77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B4DC7A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F1F35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1132F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AA5E988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BCFB" w14:textId="41A280BF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3006D">
              <w:rPr>
                <w:rFonts w:asciiTheme="majorHAnsi" w:hAnsiTheme="majorHAnsi" w:cstheme="majorHAnsi"/>
              </w:rPr>
              <w:t xml:space="preserve">adání uživatelských přístupových práv, zaznamenání a </w:t>
            </w:r>
            <w:proofErr w:type="spellStart"/>
            <w:r w:rsidRPr="0003006D">
              <w:rPr>
                <w:rFonts w:asciiTheme="majorHAnsi" w:hAnsiTheme="majorHAnsi" w:cstheme="majorHAnsi"/>
              </w:rPr>
              <w:t>dohledatelnost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 všech operací každého uživatele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55EBC9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943489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43FE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C9992E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94DC06E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DE90" w14:textId="1231EAB1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3006D">
              <w:rPr>
                <w:rFonts w:asciiTheme="majorHAnsi" w:hAnsiTheme="majorHAnsi" w:cstheme="majorHAnsi"/>
              </w:rPr>
              <w:t xml:space="preserve">ízení </w:t>
            </w:r>
            <w:proofErr w:type="spellStart"/>
            <w:r w:rsidRPr="0003006D">
              <w:rPr>
                <w:rFonts w:asciiTheme="majorHAnsi" w:hAnsiTheme="majorHAnsi" w:cstheme="majorHAnsi"/>
              </w:rPr>
              <w:t>preanalytických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, analytických a </w:t>
            </w:r>
            <w:proofErr w:type="spellStart"/>
            <w:r w:rsidRPr="0003006D">
              <w:rPr>
                <w:rFonts w:asciiTheme="majorHAnsi" w:hAnsiTheme="majorHAnsi" w:cstheme="majorHAnsi"/>
              </w:rPr>
              <w:t>postanalytických</w:t>
            </w:r>
            <w:proofErr w:type="spellEnd"/>
            <w:r w:rsidRPr="0003006D">
              <w:rPr>
                <w:rFonts w:asciiTheme="majorHAnsi" w:hAnsiTheme="majorHAnsi" w:cstheme="majorHAnsi"/>
              </w:rPr>
              <w:t xml:space="preserve"> procesů dle SOP laboratoře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BC113C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EDD2E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C008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1CF77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9585636" w14:textId="77777777" w:rsidTr="00FF5479">
        <w:trPr>
          <w:trHeight w:val="7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1671" w14:textId="254E27D0" w:rsidR="006A273F" w:rsidRDefault="006A273F" w:rsidP="006A273F">
            <w:pPr>
              <w:jc w:val="both"/>
            </w:pPr>
            <w:r>
              <w:rPr>
                <w:rFonts w:asciiTheme="majorHAnsi" w:hAnsiTheme="majorHAnsi" w:cstheme="majorHAnsi"/>
              </w:rPr>
              <w:t>V</w:t>
            </w:r>
            <w:r w:rsidRPr="0003006D">
              <w:rPr>
                <w:rFonts w:asciiTheme="majorHAnsi" w:hAnsiTheme="majorHAnsi" w:cstheme="majorHAnsi"/>
              </w:rPr>
              <w:t xml:space="preserve">zdálená správa - </w:t>
            </w:r>
            <w:r w:rsidR="00362D8E">
              <w:rPr>
                <w:rFonts w:asciiTheme="majorHAnsi" w:hAnsiTheme="majorHAnsi" w:cstheme="majorHAnsi"/>
              </w:rPr>
              <w:t xml:space="preserve"> </w:t>
            </w:r>
            <w:r w:rsidR="00081C43">
              <w:rPr>
                <w:rFonts w:asciiTheme="majorHAnsi" w:hAnsiTheme="majorHAnsi" w:cstheme="majorHAnsi"/>
              </w:rPr>
              <w:t>m</w:t>
            </w:r>
            <w:r w:rsidR="00362D8E">
              <w:rPr>
                <w:rFonts w:asciiTheme="majorHAnsi" w:hAnsiTheme="majorHAnsi" w:cstheme="majorHAnsi"/>
              </w:rPr>
              <w:t xml:space="preserve">usí být zajištěna pomocí šifrovaného tunelu. </w:t>
            </w:r>
            <w:r w:rsidRPr="0003006D">
              <w:rPr>
                <w:rFonts w:asciiTheme="majorHAnsi" w:hAnsiTheme="majorHAnsi" w:cstheme="majorHAnsi"/>
              </w:rPr>
              <w:t xml:space="preserve">Pod servisním účtem nejsou </w:t>
            </w:r>
            <w:r w:rsidR="00362D8E">
              <w:rPr>
                <w:rFonts w:asciiTheme="majorHAnsi" w:hAnsiTheme="majorHAnsi" w:cstheme="majorHAnsi"/>
              </w:rPr>
              <w:t xml:space="preserve">během vzdálené správy citlivé údajů pacientů viditelné. </w:t>
            </w:r>
            <w:r w:rsidRPr="0003006D">
              <w:rPr>
                <w:rFonts w:asciiTheme="majorHAnsi" w:hAnsiTheme="majorHAnsi" w:cstheme="majorHAnsi"/>
              </w:rPr>
              <w:t>Připojení zaměstnanců (produktov</w:t>
            </w:r>
            <w:r>
              <w:rPr>
                <w:rFonts w:asciiTheme="majorHAnsi" w:hAnsiTheme="majorHAnsi" w:cstheme="majorHAnsi"/>
              </w:rPr>
              <w:t>í</w:t>
            </w:r>
            <w:r w:rsidRPr="004546EA">
              <w:t xml:space="preserve"> </w:t>
            </w:r>
            <w:r w:rsidRPr="0003006D">
              <w:rPr>
                <w:rFonts w:asciiTheme="majorHAnsi" w:hAnsiTheme="majorHAnsi" w:cstheme="majorHAnsi"/>
              </w:rPr>
              <w:t>specialisté, servisní technici) k analyzátorům je realizováno výhradně skrze autorizační server umístěný v centrále firmy, kam mají přístup pouze zaměstnanci firmy. Všechny přístupy na analyzátory jsou logovány. Je tedy možné kdykoli dohledat, kdo, kam, kdy a za jakým účelem se připojoval. Tyto logy má objednatel možnost si kdykoli vyžádat ke kontrole. Objednatel je také vždy před samotným připojením informován. Nesmí být poskytována přes třetí strany</w:t>
            </w:r>
          </w:p>
          <w:p w14:paraId="54EABD0B" w14:textId="77777777" w:rsidR="006A273F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633187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6FDC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67963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FA8F4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915736F" w14:textId="586BB5A0" w:rsidTr="00AC5B9A">
        <w:trPr>
          <w:trHeight w:val="808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A90C" w14:textId="20D3D0F2" w:rsidR="006A273F" w:rsidRPr="00A644FA" w:rsidRDefault="006A273F" w:rsidP="006A273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54B11">
              <w:rPr>
                <w:rFonts w:asciiTheme="majorHAnsi" w:hAnsiTheme="majorHAnsi" w:cstheme="majorHAnsi"/>
                <w:b/>
                <w:u w:val="single"/>
              </w:rPr>
              <w:t>Požadavky na reagencie, kalibrační materiály, provozní chemikálie a spotřební a kontrolní materiály:</w:t>
            </w:r>
          </w:p>
        </w:tc>
      </w:tr>
      <w:tr w:rsidR="006A273F" w:rsidRPr="00A644FA" w14:paraId="2864BC6A" w14:textId="005D7D6F" w:rsidTr="00B74032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47BA" w14:textId="59E4EEB0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lastRenderedPageBreak/>
              <w:t>Všechny dodávané reagencie musí být certifikovány pro in vitro diagnostiku (CE-IVD) a v souladu s platnou legislativou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F57460" w14:textId="77777777" w:rsidR="006A273F" w:rsidRPr="00A644FA" w:rsidRDefault="006A273F" w:rsidP="006A273F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57E68F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8EBFE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DA1B07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E0CB46D" w14:textId="5EFC88D8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FF67" w14:textId="38A0E16B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Identifikace reagencií v analyzátoru musí být prostřednictvím čárového kódu, QR kódu nebo RFID čipem (systém umožňující automatické nahrávání reagencie), včetně informace o šarži a exspiraci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44D301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65FBD3C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EB619E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91AC21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0C26AC07" w14:textId="32952E0C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F39B" w14:textId="413E035F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Stabilita dodávaných materiálů (reagencie, provozní chemikálie a spotřební materiály) po otevření min. 30 dnů, vyjma IKK (interní kontrola kvality)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585288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63015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379A4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0144A9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0003ACA" w14:textId="457E609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EB37" w14:textId="662627DC" w:rsidR="006A273F" w:rsidRPr="00081C43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1C43">
              <w:rPr>
                <w:rFonts w:asciiTheme="majorHAnsi" w:hAnsiTheme="majorHAnsi" w:cstheme="majorHAnsi"/>
              </w:rPr>
              <w:t>Stabilita kontrolních vzorků (IKK) po otevření alespoň 7 dní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0E5E1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3C92A4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D261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4C639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0A1B7F8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69EB" w14:textId="4017E521" w:rsidR="006A273F" w:rsidRPr="00081C43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081C43">
              <w:rPr>
                <w:rFonts w:asciiTheme="majorHAnsi" w:hAnsiTheme="majorHAnsi" w:cstheme="majorHAnsi"/>
              </w:rPr>
              <w:t xml:space="preserve">Nutné dodávat </w:t>
            </w:r>
            <w:proofErr w:type="spellStart"/>
            <w:r w:rsidRPr="00081C43">
              <w:rPr>
                <w:rFonts w:asciiTheme="majorHAnsi" w:hAnsiTheme="majorHAnsi" w:cstheme="majorHAnsi"/>
              </w:rPr>
              <w:t>bezkyanidové</w:t>
            </w:r>
            <w:proofErr w:type="spellEnd"/>
            <w:r w:rsidRPr="00081C43">
              <w:rPr>
                <w:rFonts w:asciiTheme="majorHAnsi" w:hAnsiTheme="majorHAnsi" w:cstheme="majorHAnsi"/>
              </w:rPr>
              <w:t xml:space="preserve"> reagencie pro stanovení koncentrace hemoglobinu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F32C18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EF78B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F8240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28B2F4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55DE3D6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9BBA" w14:textId="41832ED6" w:rsidR="006A273F" w:rsidRPr="00F270C9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F270C9">
              <w:rPr>
                <w:rFonts w:asciiTheme="majorHAnsi" w:hAnsiTheme="majorHAnsi" w:cstheme="majorHAnsi"/>
              </w:rPr>
              <w:t>Reagencie a materiály pro analyzátory musí být primárně vyráběny stejným výrobcem, jako je výrobce analyzátorů (uzavřený systém)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90EBDC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AB5471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7513F9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18C106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3217EEBB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0190" w14:textId="1D1C098D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U všech reagencií a materiálů zajistí dodavatel dodání veškerých dokumentů, zaškolení obsluhy apod.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5CC8C0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8E6CF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F79CF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64EA4E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2A4D8F1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5D4D" w14:textId="095A73C3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Příbalové letáky a bezpečnostní listy dodávaných reagencií (diagnostické soupravy, kontrolní materiály) včetně spotřebního materiálu musí být v českém jazyce dodány s první dodávkou a dále musí být dostupné v aktuální elektronické verzi na dostupném odkazu, který bude předán oddělení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87F12B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E3BE02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1416B8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FB8767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7420E5BC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FB9E" w14:textId="17248C74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Analyzátory krevních obrazů musí disponovat interní kontrolou kvality na komerčních kontrolních materiálech certifikovaných pro in vitro diagnostiku (CE-IVD) a v souladu s platnou legislativou, a to pro všechny klinické parametry, vždy na hladině patologické nízké, normální a patologické vysoké s možností automatického nahrání cílových hodnot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17CD8A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350BC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110F8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F8CB5A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DF0663C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CB4F" w14:textId="05BBD9E7" w:rsidR="006A273F" w:rsidRPr="00597FB5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lastRenderedPageBreak/>
              <w:t>Zdravotnické prostředky (analytický systém, reagencie, kontrolní příp. i kalibrační materiál, spotřební materiál) jsou zajištěny přímo od výrobce nebo jím pověřeného dodavatele – musí být zajištěna okamžitá dostupnost bezpečnostních a technických sdělení výrobců ZP a diagnostik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736C7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214F81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7F0CB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1760F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2E6A0DD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6AEF" w14:textId="6DAEF67B" w:rsidR="006A273F" w:rsidRPr="00597FB5" w:rsidRDefault="006A273F" w:rsidP="001C6CF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Dodávky reagencií a veškerého spotřebního materiálu do 5 kalendářních dnů</w:t>
            </w:r>
            <w:r w:rsidR="00597FB5" w:rsidRPr="00597FB5">
              <w:rPr>
                <w:rFonts w:asciiTheme="majorHAnsi" w:hAnsiTheme="majorHAnsi" w:cstheme="majorHAnsi"/>
              </w:rPr>
              <w:t xml:space="preserve"> od potvrzení </w:t>
            </w:r>
            <w:r w:rsidR="00E04521" w:rsidRPr="00597FB5">
              <w:rPr>
                <w:rFonts w:asciiTheme="majorHAnsi" w:hAnsiTheme="majorHAnsi" w:cstheme="majorHAnsi"/>
              </w:rPr>
              <w:t>objednávky prodávajícím</w:t>
            </w:r>
            <w:r w:rsidR="00597FB5" w:rsidRPr="00597FB5">
              <w:rPr>
                <w:rFonts w:asciiTheme="majorHAnsi" w:hAnsiTheme="majorHAnsi" w:cstheme="majorHAnsi"/>
              </w:rPr>
              <w:t>.</w:t>
            </w:r>
            <w:r w:rsidRPr="00597FB5">
              <w:rPr>
                <w:rFonts w:asciiTheme="majorHAnsi" w:hAnsiTheme="majorHAnsi" w:cstheme="majorHAnsi"/>
              </w:rPr>
              <w:t xml:space="preserve"> </w:t>
            </w:r>
            <w:r w:rsidR="00E04521" w:rsidRPr="00597FB5">
              <w:rPr>
                <w:rFonts w:asciiTheme="majorHAnsi" w:hAnsiTheme="majorHAnsi" w:cstheme="majorHAnsi"/>
              </w:rPr>
              <w:t>Dodávka</w:t>
            </w:r>
            <w:r w:rsidR="00982833">
              <w:rPr>
                <w:rFonts w:asciiTheme="majorHAnsi" w:hAnsiTheme="majorHAnsi" w:cstheme="majorHAnsi"/>
              </w:rPr>
              <w:t xml:space="preserve"> všech reagencií (pro Oddělení hematologie i Odběrové centrum) musí být uskutečněna vždy na O</w:t>
            </w:r>
            <w:r w:rsidR="00E04521" w:rsidRPr="00597FB5">
              <w:rPr>
                <w:rFonts w:asciiTheme="majorHAnsi" w:hAnsiTheme="majorHAnsi" w:cstheme="majorHAnsi"/>
              </w:rPr>
              <w:t xml:space="preserve">ddělení hematologie v časovém rozmezí od 7:00 do 14:00 hod daného dne. </w:t>
            </w:r>
            <w:r w:rsidRPr="00597FB5">
              <w:rPr>
                <w:rFonts w:asciiTheme="majorHAnsi" w:hAnsiTheme="majorHAnsi" w:cstheme="majorHAnsi"/>
              </w:rPr>
              <w:t xml:space="preserve">V případě požadavku na urgentní dodávku zajistit dodání do 2 pracovních dnů od </w:t>
            </w:r>
            <w:r w:rsidR="00E04521" w:rsidRPr="00597FB5">
              <w:rPr>
                <w:rFonts w:asciiTheme="majorHAnsi" w:hAnsiTheme="majorHAnsi" w:cstheme="majorHAnsi"/>
              </w:rPr>
              <w:t>potvrzení objednávky prodávajícím.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345009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EEF0A63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E5CBF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BE8D6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D29C3C1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4BA8" w14:textId="5A2BF93A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 w:rsidRPr="00597FB5">
              <w:rPr>
                <w:rFonts w:asciiTheme="majorHAnsi" w:hAnsiTheme="majorHAnsi" w:cstheme="majorHAnsi"/>
              </w:rPr>
              <w:t>V rámci nabídky musí být  započteny kontrolní materiály, včetně provedených testů, a to v takovém množství, aby odpovídaly předpokládanému počtu prováděných analýz, stanovené očekávané frekvenci kontrol a doporučení Hematologické společnosti ČLS JEP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11238E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8DC8E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619A0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D5F541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14EA2D3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C814" w14:textId="2DD32E2C" w:rsidR="006A273F" w:rsidRPr="005D2DB9" w:rsidRDefault="006A273F" w:rsidP="006A273F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945FA">
              <w:rPr>
                <w:rFonts w:asciiTheme="majorHAnsi" w:hAnsiTheme="majorHAnsi" w:cstheme="majorHAnsi"/>
              </w:rPr>
              <w:t xml:space="preserve">ožnost identifikace kontrolního materiálu analytickým systémem prostřednictvím čárového kódu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857E2E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469F8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62B86A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498116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41368F6E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9027" w14:textId="3B5C538C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945FA">
              <w:rPr>
                <w:rFonts w:asciiTheme="majorHAnsi" w:hAnsiTheme="majorHAnsi" w:cstheme="majorHAnsi"/>
              </w:rPr>
              <w:t>nalyzátory krevních obrazů musí umožňovat automatický monitoring klouzavých průměrů (</w:t>
            </w:r>
            <w:proofErr w:type="spellStart"/>
            <w:r w:rsidRPr="00A945FA">
              <w:rPr>
                <w:rFonts w:asciiTheme="majorHAnsi" w:hAnsiTheme="majorHAnsi" w:cstheme="majorHAnsi"/>
              </w:rPr>
              <w:t>moving</w:t>
            </w:r>
            <w:proofErr w:type="spellEnd"/>
            <w:r w:rsidRPr="00A945F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A945FA">
              <w:rPr>
                <w:rFonts w:asciiTheme="majorHAnsi" w:hAnsiTheme="majorHAnsi" w:cstheme="majorHAnsi"/>
              </w:rPr>
              <w:t>average</w:t>
            </w:r>
            <w:proofErr w:type="spellEnd"/>
            <w:r w:rsidRPr="00A945FA">
              <w:rPr>
                <w:rFonts w:asciiTheme="majorHAnsi" w:hAnsiTheme="majorHAnsi" w:cstheme="majorHAnsi"/>
              </w:rPr>
              <w:t>/ XB analýza) na n</w:t>
            </w:r>
            <w:r>
              <w:rPr>
                <w:rFonts w:asciiTheme="majorHAnsi" w:hAnsiTheme="majorHAnsi" w:cstheme="majorHAnsi"/>
              </w:rPr>
              <w:t>ativních pacientských vzorcích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ECFABC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5C04F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367B20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71E51D7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A273F" w:rsidRPr="00A644FA" w14:paraId="5BFCF1AA" w14:textId="77777777" w:rsidTr="004C04BF">
        <w:trPr>
          <w:trHeight w:val="8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D276" w14:textId="2FF58922" w:rsidR="006A273F" w:rsidRPr="00A945FA" w:rsidRDefault="006A273F" w:rsidP="006A27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945FA">
              <w:rPr>
                <w:rFonts w:asciiTheme="majorHAnsi" w:hAnsiTheme="majorHAnsi" w:cstheme="majorHAnsi"/>
              </w:rPr>
              <w:t xml:space="preserve">nalyzátory krevních obrazů musí umožňovat kontrolu pozadí (Background) v rámci základního režimu (bez nutnosti volby dalšího </w:t>
            </w:r>
            <w:r>
              <w:rPr>
                <w:rFonts w:asciiTheme="majorHAnsi" w:hAnsiTheme="majorHAnsi" w:cstheme="majorHAnsi"/>
              </w:rPr>
              <w:t>režimu měření a nákladů navíc)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96B8C7" w14:textId="77777777" w:rsidR="006A273F" w:rsidRPr="00A644FA" w:rsidRDefault="006A273F" w:rsidP="006A273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3BA82B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AF7FD1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5C75B0D" w14:textId="77777777" w:rsidR="006A273F" w:rsidRPr="00A644FA" w:rsidRDefault="006A273F" w:rsidP="006A273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bookmarkEnd w:id="0"/>
    </w:tbl>
    <w:p w14:paraId="5DB0E75B" w14:textId="77777777" w:rsidR="007A148C" w:rsidRDefault="007A148C" w:rsidP="007A148C">
      <w:pPr>
        <w:jc w:val="both"/>
      </w:pPr>
    </w:p>
    <w:tbl>
      <w:tblPr>
        <w:tblStyle w:val="Mkatabulky"/>
        <w:tblW w:w="10774" w:type="dxa"/>
        <w:tblInd w:w="-856" w:type="dxa"/>
        <w:tblLook w:val="04A0" w:firstRow="1" w:lastRow="0" w:firstColumn="1" w:lastColumn="0" w:noHBand="0" w:noVBand="1"/>
      </w:tblPr>
      <w:tblGrid>
        <w:gridCol w:w="5481"/>
        <w:gridCol w:w="1550"/>
        <w:gridCol w:w="1413"/>
        <w:gridCol w:w="2330"/>
      </w:tblGrid>
      <w:tr w:rsidR="00F7707E" w:rsidRPr="00D939D9" w14:paraId="6C5C703B" w14:textId="77777777" w:rsidTr="00F7707E">
        <w:trPr>
          <w:trHeight w:val="566"/>
        </w:trPr>
        <w:tc>
          <w:tcPr>
            <w:tcW w:w="1077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DF21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Další součásti dodávky</w:t>
            </w:r>
          </w:p>
        </w:tc>
      </w:tr>
      <w:tr w:rsidR="00F7707E" w:rsidRPr="00D939D9" w14:paraId="7C115A79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14A8384" w14:textId="17E1BC20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Odpovídající počet UPS pro všechny analyzátory s adekvátním výkonem umožňujícím ukončení rozpracovaných analýz</w:t>
            </w:r>
            <w:r w:rsidR="008B25D5" w:rsidRPr="00D939D9">
              <w:rPr>
                <w:rFonts w:asciiTheme="majorHAnsi" w:hAnsiTheme="majorHAnsi" w:cstheme="majorHAnsi"/>
              </w:rPr>
              <w:t xml:space="preserve"> a řádné vypnutí</w:t>
            </w:r>
            <w:r w:rsidRPr="00D939D9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A4310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počet a typ UPS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FF8A2D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08CFEA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D2D268A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7E23181" w14:textId="38EBFD25" w:rsidR="00F7707E" w:rsidRPr="00D939D9" w:rsidRDefault="00F7707E" w:rsidP="006534C4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lastRenderedPageBreak/>
              <w:t>Čtečka</w:t>
            </w:r>
            <w:r w:rsidR="00DE1F37" w:rsidRPr="00D939D9">
              <w:rPr>
                <w:rFonts w:asciiTheme="majorHAnsi" w:hAnsiTheme="majorHAnsi" w:cstheme="majorHAnsi"/>
              </w:rPr>
              <w:t xml:space="preserve"> (interní a externí)</w:t>
            </w:r>
            <w:r w:rsidRPr="00D939D9">
              <w:rPr>
                <w:rFonts w:asciiTheme="majorHAnsi" w:hAnsiTheme="majorHAnsi" w:cstheme="majorHAnsi"/>
              </w:rPr>
              <w:t xml:space="preserve"> čárových kódů (v součinnosti s LIS, </w:t>
            </w:r>
            <w:proofErr w:type="spellStart"/>
            <w:r w:rsidRPr="00D939D9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</w:rPr>
              <w:t>, analyzátory)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B9201C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počet a typ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B5ACF9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5DA925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AD37D9E" w14:textId="77777777" w:rsidTr="00D75EC6">
        <w:trPr>
          <w:trHeight w:val="845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82C5D9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Firemní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</w:rPr>
              <w:t xml:space="preserve"> umožňující připojit více zařízení přes jeden přístup do LIS.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1035F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Uveďte typ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DF2133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AD866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5D69FC1" w14:textId="77777777" w:rsidTr="00D75EC6">
        <w:trPr>
          <w:trHeight w:val="35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E8710FC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Připojení k laboratornímu systému firmy STAPRO s.r.o. </w:t>
            </w:r>
            <w:proofErr w:type="spellStart"/>
            <w:r w:rsidRPr="00D939D9">
              <w:rPr>
                <w:rFonts w:asciiTheme="majorHAnsi" w:hAnsiTheme="majorHAnsi" w:cstheme="majorHAnsi"/>
              </w:rPr>
              <w:t>OpenLIMS</w:t>
            </w:r>
            <w:proofErr w:type="spellEnd"/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A34D5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9D9F7F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0B7D6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038E638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5BB5F98" w14:textId="261BF60F" w:rsidR="00F7707E" w:rsidRPr="00D939D9" w:rsidRDefault="00F7707E" w:rsidP="00D0443D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Uchazeč musí dodat mechanicky stabilní funkční komplet analyzátoru (popř. i se stoly), který u zadavatele napojí na přívody energií, na datovou síť a na odpady.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4F11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466E4C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64986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AFC6FC3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1E4AA9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 xml:space="preserve">Požadavky </w:t>
            </w:r>
            <w:proofErr w:type="spellStart"/>
            <w:r w:rsidRPr="00D939D9">
              <w:rPr>
                <w:rFonts w:asciiTheme="majorHAnsi" w:hAnsiTheme="majorHAnsi" w:cstheme="majorHAnsi"/>
                <w:b/>
                <w:bCs/>
              </w:rPr>
              <w:t>middleware</w:t>
            </w:r>
            <w:proofErr w:type="spellEnd"/>
            <w:r w:rsidRPr="00D939D9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7232AF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40F50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827CD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965B332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1589170" w14:textId="4D884173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funkce nouzové zálohy základních funkcí LIS (</w:t>
            </w:r>
            <w:r w:rsidR="00856245" w:rsidRPr="00D939D9">
              <w:rPr>
                <w:rFonts w:asciiTheme="majorHAnsi" w:hAnsiTheme="majorHAnsi" w:cstheme="majorHAnsi"/>
              </w:rPr>
              <w:t xml:space="preserve">min. </w:t>
            </w:r>
            <w:r w:rsidRPr="00D939D9">
              <w:rPr>
                <w:rFonts w:asciiTheme="majorHAnsi" w:hAnsiTheme="majorHAnsi" w:cstheme="majorHAnsi"/>
              </w:rPr>
              <w:t xml:space="preserve">vytvoření žádanky, tisk </w:t>
            </w:r>
            <w:proofErr w:type="spellStart"/>
            <w:r w:rsidRPr="00D939D9">
              <w:rPr>
                <w:rFonts w:asciiTheme="majorHAnsi" w:hAnsiTheme="majorHAnsi" w:cstheme="majorHAnsi"/>
              </w:rPr>
              <w:t>barkódu</w:t>
            </w:r>
            <w:proofErr w:type="spellEnd"/>
            <w:r w:rsidRPr="00D939D9">
              <w:rPr>
                <w:rFonts w:asciiTheme="majorHAnsi" w:hAnsiTheme="majorHAnsi" w:cstheme="majorHAnsi"/>
              </w:rPr>
              <w:t>, kontrola kvality, následnou synchronizaci požadavků a výsledků s LIS)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D04A6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AC4488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1E887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D950654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D982B9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zálohování a audit historie vzorků a událostí s nimi spojených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CD93C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6AA20A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B3F39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BD63C76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920A4F2" w14:textId="34B15EEA" w:rsidR="00F7707E" w:rsidRPr="00D939D9" w:rsidRDefault="00F7707E" w:rsidP="00856245">
            <w:pPr>
              <w:suppressAutoHyphens/>
              <w:rPr>
                <w:rFonts w:asciiTheme="majorHAnsi" w:hAnsiTheme="majorHAnsi" w:cstheme="majorHAnsi"/>
                <w:highlight w:val="green"/>
              </w:rPr>
            </w:pPr>
            <w:r w:rsidRPr="00D939D9">
              <w:rPr>
                <w:rFonts w:asciiTheme="majorHAnsi" w:hAnsiTheme="majorHAnsi" w:cstheme="majorHAnsi"/>
              </w:rPr>
              <w:t xml:space="preserve">statistiky o provozu laboratoře (objemy testů, výsledky QC, opakovaných měření, kalibrace, apod.) za zvolenou periodu 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64CF5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A7377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C3FD3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09C8F8F3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4DA6304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validace výsledků na základě pravidel a jejich automatické nebo manuální uvolňování do LIS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157CB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85EB11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BD21D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889B7DC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7E0337B3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automatické blokování auto-validace při porušení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Westgardových</w:t>
            </w:r>
            <w:proofErr w:type="spellEnd"/>
            <w:r w:rsidRPr="00D939D9">
              <w:rPr>
                <w:rFonts w:asciiTheme="majorHAnsi" w:hAnsiTheme="majorHAnsi" w:cstheme="majorHAnsi"/>
              </w:rPr>
              <w:t xml:space="preserve"> pravidel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7CBB6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82EFF9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0F35A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FF8B837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D2FD723" w14:textId="7646AADB" w:rsidR="00F7707E" w:rsidRPr="00D939D9" w:rsidRDefault="00432C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sledování aktuálního stavu rutinní analýzy a výkonu laboratoře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5D3D8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70DEF0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98E0E7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5CDE23FE" w14:textId="77777777" w:rsidTr="00D75EC6">
        <w:trPr>
          <w:trHeight w:val="400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73BFD597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archivace vzorku po dobu min. 30 dnů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720A3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EFF1D07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0953B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16275DB2" w14:textId="77777777" w:rsidTr="00F7707E">
        <w:trPr>
          <w:trHeight w:val="308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14:paraId="5117B92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Požadavky IT</w:t>
            </w:r>
          </w:p>
        </w:tc>
      </w:tr>
      <w:tr w:rsidR="00F7707E" w:rsidRPr="00D939D9" w14:paraId="2B199A42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7F423C8B" w14:textId="77777777" w:rsidR="00F7707E" w:rsidRPr="00D939D9" w:rsidRDefault="00F7707E" w:rsidP="005B6988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1.   Minimální požadavky na připojení do LAN infrastruktury:</w:t>
            </w:r>
          </w:p>
        </w:tc>
      </w:tr>
      <w:tr w:rsidR="00F7707E" w:rsidRPr="00D939D9" w14:paraId="770C6C01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03F8FE6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připojení dle standardu kompatibilního s 1000BASE-T nebo 100BASE-TX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02DB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D65AF8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0C7C6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33F5138F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3298493E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pokud je zařízení připojeno do LAN, nesmí být zároveň připojeno do žádné bezdrátové komunikační sítě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3E922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6790E8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2FF5C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525C6D8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5BFC3262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2. Minimální požadavky na bezpečnost komunikační sítě:</w:t>
            </w:r>
          </w:p>
        </w:tc>
      </w:tr>
      <w:tr w:rsidR="00F7707E" w:rsidRPr="00D939D9" w14:paraId="6B9A1196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454A463A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používání šifrovaných komunikačních protokolů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74FF5A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C75093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EE9369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329FABE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10A19DA8" w14:textId="77777777" w:rsidR="00F7707E" w:rsidRPr="00D939D9" w:rsidRDefault="00F7707E" w:rsidP="005B6988">
            <w:pPr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lastRenderedPageBreak/>
              <w:t>3. Požadavky na operační systém nebo firmware centrálního prvku/serveru:</w:t>
            </w:r>
          </w:p>
        </w:tc>
      </w:tr>
      <w:tr w:rsidR="00F7707E" w:rsidRPr="00D939D9" w14:paraId="76E0B6D6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1C851428" w14:textId="0A64F3BA" w:rsidR="00F7707E" w:rsidRPr="00D939D9" w:rsidRDefault="00F7707E" w:rsidP="00BD6900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operační systém nebo firmware musí být podporovaný výrobcem po</w:t>
            </w:r>
            <w:r w:rsidR="00BD6900" w:rsidRPr="00D939D9">
              <w:rPr>
                <w:rFonts w:asciiTheme="majorHAnsi" w:hAnsiTheme="majorHAnsi" w:cstheme="majorHAnsi"/>
              </w:rPr>
              <w:t xml:space="preserve"> celou dobu výpůjčky přístrojů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6300C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92269C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40BEB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6018BEC5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5D31978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operační systém musí být zajištěn minimálně antivirovou ochranou a pravidelnými aktualizacemi (v případě že se jedná o proprietární „obecně neznámý“ operační systém nebo firmware, pro který neexistuje běžný antivirový SW, uveďte rovněž ANO)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84CF7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817A48E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10A86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1366B73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305B7F7B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4. Min. požadavky na instalaci a provoz obslužného aplikačního software:</w:t>
            </w:r>
          </w:p>
        </w:tc>
      </w:tr>
      <w:tr w:rsidR="00F7707E" w:rsidRPr="00D939D9" w14:paraId="0661A528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FC4E57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znemožnění anonymního přístupu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A47D32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463B50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2429B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F41C3E2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B09A82D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 xml:space="preserve">napojení </w:t>
            </w:r>
            <w:proofErr w:type="spellStart"/>
            <w:r w:rsidRPr="00D939D9">
              <w:rPr>
                <w:rFonts w:asciiTheme="majorHAnsi" w:hAnsiTheme="majorHAnsi" w:cstheme="majorHAnsi"/>
              </w:rPr>
              <w:t>ActiveDirecotry</w:t>
            </w:r>
            <w:proofErr w:type="spellEnd"/>
            <w:r w:rsidRPr="00D939D9">
              <w:rPr>
                <w:rFonts w:asciiTheme="majorHAnsi" w:hAnsiTheme="majorHAnsi" w:cstheme="majorHAnsi"/>
              </w:rPr>
              <w:t>, nebo LDAP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85BAD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15DEB20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1211C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7E76C35B" w14:textId="77777777" w:rsidTr="00D75EC6">
        <w:trPr>
          <w:trHeight w:val="649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090489D9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uživatelská oprávnění rozdělená do rolí nebo skupin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290E0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80B948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4E008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C88886E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D31807B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automatické odhlášení při nečinnosti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1AC36D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0C81726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CB8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EFCE672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2CE6B902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vynucení komplexity hesla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543B6C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C7872D3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DA0BA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4B169B59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57217DC7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logování práce uživatelů a administrátorů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1761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504C725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58A74B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7707E" w:rsidRPr="00D939D9" w14:paraId="203354AD" w14:textId="77777777" w:rsidTr="00F7707E">
        <w:trPr>
          <w:trHeight w:val="641"/>
        </w:trPr>
        <w:tc>
          <w:tcPr>
            <w:tcW w:w="10774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3D527A87" w14:textId="77777777" w:rsidR="00F7707E" w:rsidRPr="00D939D9" w:rsidRDefault="00F7707E" w:rsidP="005B6988">
            <w:pPr>
              <w:rPr>
                <w:rFonts w:asciiTheme="majorHAnsi" w:hAnsiTheme="majorHAnsi" w:cstheme="majorHAnsi"/>
                <w:b/>
                <w:bCs/>
              </w:rPr>
            </w:pPr>
            <w:r w:rsidRPr="00D939D9">
              <w:rPr>
                <w:rFonts w:asciiTheme="majorHAnsi" w:hAnsiTheme="majorHAnsi" w:cstheme="majorHAnsi"/>
                <w:b/>
                <w:bCs/>
              </w:rPr>
              <w:t>5. Vzdálená správa dodávané technologie</w:t>
            </w:r>
          </w:p>
        </w:tc>
      </w:tr>
      <w:tr w:rsidR="00F7707E" w:rsidRPr="00D939D9" w14:paraId="5F977DBF" w14:textId="77777777" w:rsidTr="00D75EC6">
        <w:trPr>
          <w:trHeight w:val="641"/>
        </w:trPr>
        <w:tc>
          <w:tcPr>
            <w:tcW w:w="5481" w:type="dxa"/>
            <w:tcBorders>
              <w:tl2br w:val="nil"/>
              <w:tr2bl w:val="nil"/>
            </w:tcBorders>
            <w:shd w:val="clear" w:color="auto" w:fill="auto"/>
          </w:tcPr>
          <w:p w14:paraId="6C443D32" w14:textId="77777777" w:rsidR="00F7707E" w:rsidRPr="00D939D9" w:rsidRDefault="00F7707E" w:rsidP="005B6988">
            <w:pPr>
              <w:suppressAutoHyphens/>
              <w:rPr>
                <w:rFonts w:asciiTheme="majorHAnsi" w:hAnsiTheme="majorHAnsi" w:cstheme="majorHAnsi"/>
              </w:rPr>
            </w:pPr>
            <w:r w:rsidRPr="00D939D9">
              <w:rPr>
                <w:rFonts w:asciiTheme="majorHAnsi" w:hAnsiTheme="majorHAnsi" w:cstheme="majorHAnsi"/>
              </w:rPr>
              <w:t>vzdálená správa bude umožněna na základě podpisu samostatné smlouvy upravující podmínky přístupu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ECAAE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64ACE4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498C48" w14:textId="77777777" w:rsidR="00F7707E" w:rsidRPr="00D939D9" w:rsidRDefault="00F7707E" w:rsidP="005B698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51BFEF30" w14:textId="77777777" w:rsidR="00F7707E" w:rsidRPr="00D939D9" w:rsidRDefault="00F7707E" w:rsidP="00F7707E">
      <w:pPr>
        <w:rPr>
          <w:rFonts w:asciiTheme="majorHAnsi" w:hAnsiTheme="majorHAnsi" w:cstheme="majorHAnsi"/>
        </w:rPr>
      </w:pPr>
    </w:p>
    <w:p w14:paraId="3B254293" w14:textId="77777777" w:rsidR="007A148C" w:rsidRDefault="007A148C" w:rsidP="007A148C">
      <w:pPr>
        <w:jc w:val="both"/>
      </w:pPr>
    </w:p>
    <w:p w14:paraId="455B3409" w14:textId="77777777" w:rsidR="003E6EA0" w:rsidRDefault="003E6EA0" w:rsidP="007A148C">
      <w:pPr>
        <w:jc w:val="both"/>
      </w:pPr>
    </w:p>
    <w:p w14:paraId="7953C0D5" w14:textId="1E7C1E68" w:rsidR="002B6A9A" w:rsidRPr="00A644FA" w:rsidRDefault="002B6A9A" w:rsidP="002B6A9A">
      <w:pPr>
        <w:rPr>
          <w:rFonts w:asciiTheme="minorHAnsi" w:hAnsiTheme="minorHAnsi" w:cstheme="minorHAnsi"/>
        </w:rPr>
      </w:pPr>
    </w:p>
    <w:sectPr w:rsidR="002B6A9A" w:rsidRPr="00A644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D8607F" w16cex:dateUtc="2025-06-20T11:33:00Z"/>
  <w16cex:commentExtensible w16cex:durableId="50767798" w16cex:dateUtc="2025-06-20T11:40:00Z"/>
  <w16cex:commentExtensible w16cex:durableId="6E901D1B" w16cex:dateUtc="2025-06-20T10:14:00Z"/>
  <w16cex:commentExtensible w16cex:durableId="7365EA8E" w16cex:dateUtc="2025-06-20T10:26:00Z"/>
  <w16cex:commentExtensible w16cex:durableId="42A0CC43" w16cex:dateUtc="2025-06-20T10:26:00Z"/>
  <w16cex:commentExtensible w16cex:durableId="19273E94" w16cex:dateUtc="2025-06-20T10:25:00Z"/>
  <w16cex:commentExtensible w16cex:durableId="190786CC" w16cex:dateUtc="2025-06-20T10:25:00Z"/>
  <w16cex:commentExtensible w16cex:durableId="79C49C23" w16cex:dateUtc="2025-06-20T10:21:00Z"/>
  <w16cex:commentExtensible w16cex:durableId="3618BEF0" w16cex:dateUtc="2025-06-20T10:21:00Z"/>
  <w16cex:commentExtensible w16cex:durableId="2E0FC033" w16cex:dateUtc="2025-06-20T10:27:00Z"/>
  <w16cex:commentExtensible w16cex:durableId="05E3217E" w16cex:dateUtc="2025-06-20T10:20:00Z"/>
  <w16cex:commentExtensible w16cex:durableId="7BB80D90" w16cex:dateUtc="2025-06-20T10:20:00Z"/>
  <w16cex:commentExtensible w16cex:durableId="6046FBA4" w16cex:dateUtc="2025-04-29T07:02:00Z"/>
  <w16cex:commentExtensible w16cex:durableId="3ECB18AF" w16cex:dateUtc="2025-06-20T07:46:00Z"/>
  <w16cex:commentExtensible w16cex:durableId="6ADF516E" w16cex:dateUtc="2025-04-15T12:33:00Z"/>
  <w16cex:commentExtensible w16cex:durableId="61632F09" w16cex:dateUtc="2025-06-20T07:40:00Z"/>
  <w16cex:commentExtensible w16cex:durableId="30BBF22E" w16cex:dateUtc="2025-06-20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15B32EF" w16cid:durableId="57D8607F"/>
  <w16cid:commentId w16cid:paraId="1B69968F" w16cid:durableId="34D9C14B"/>
  <w16cid:commentId w16cid:paraId="3CC19BD4" w16cid:durableId="3B78815A"/>
  <w16cid:commentId w16cid:paraId="6A83F07A" w16cid:durableId="593709AA"/>
  <w16cid:commentId w16cid:paraId="492906E2" w16cid:durableId="179E4B97"/>
  <w16cid:commentId w16cid:paraId="7E79F1B3" w16cid:durableId="50767798"/>
  <w16cid:commentId w16cid:paraId="70060689" w16cid:durableId="51523D0D"/>
  <w16cid:commentId w16cid:paraId="3847815E" w16cid:durableId="76CAC1EF"/>
  <w16cid:commentId w16cid:paraId="213659C2" w16cid:durableId="6E901D1B"/>
  <w16cid:commentId w16cid:paraId="072D0342" w16cid:durableId="7365EA8E"/>
  <w16cid:commentId w16cid:paraId="012F4228" w16cid:durableId="42A0CC43"/>
  <w16cid:commentId w16cid:paraId="3C6CAD32" w16cid:durableId="19273E94"/>
  <w16cid:commentId w16cid:paraId="11E5E3A5" w16cid:durableId="190786CC"/>
  <w16cid:commentId w16cid:paraId="410DC612" w16cid:durableId="79C49C23"/>
  <w16cid:commentId w16cid:paraId="48EDD0B2" w16cid:durableId="3618BEF0"/>
  <w16cid:commentId w16cid:paraId="561BE8F0" w16cid:durableId="2E0FC033"/>
  <w16cid:commentId w16cid:paraId="6191A623" w16cid:durableId="1CE8EA12"/>
  <w16cid:commentId w16cid:paraId="57990A82" w16cid:durableId="05E3217E"/>
  <w16cid:commentId w16cid:paraId="0191C24D" w16cid:durableId="7BB80D90"/>
  <w16cid:commentId w16cid:paraId="66C693D7" w16cid:durableId="2BFC4B0E"/>
  <w16cid:commentId w16cid:paraId="142949CF" w16cid:durableId="749764B1"/>
  <w16cid:commentId w16cid:paraId="57204DF7" w16cid:durableId="6046FBA4"/>
  <w16cid:commentId w16cid:paraId="0D5BCE55" w16cid:durableId="22D98B75"/>
  <w16cid:commentId w16cid:paraId="16073EF1" w16cid:durableId="3A0CF2AD"/>
  <w16cid:commentId w16cid:paraId="31AEB0E9" w16cid:durableId="3ECB18AF"/>
  <w16cid:commentId w16cid:paraId="4165BCC6" w16cid:durableId="06A446A2"/>
  <w16cid:commentId w16cid:paraId="52FA9884" w16cid:durableId="630EDC5E"/>
  <w16cid:commentId w16cid:paraId="72B9DBD0" w16cid:durableId="1BDB44B9"/>
  <w16cid:commentId w16cid:paraId="58D99B31" w16cid:durableId="1CF50C64"/>
  <w16cid:commentId w16cid:paraId="2F239D57" w16cid:durableId="7A4352F3"/>
  <w16cid:commentId w16cid:paraId="0457D3B9" w16cid:durableId="6ADF516E"/>
  <w16cid:commentId w16cid:paraId="38620DC4" w16cid:durableId="628E757E"/>
  <w16cid:commentId w16cid:paraId="24B6DC77" w16cid:durableId="2030B071"/>
  <w16cid:commentId w16cid:paraId="163486EB" w16cid:durableId="61632F09"/>
  <w16cid:commentId w16cid:paraId="782895FF" w16cid:durableId="12ED82E1"/>
  <w16cid:commentId w16cid:paraId="480F536B" w16cid:durableId="30BBF22E"/>
  <w16cid:commentId w16cid:paraId="7541548C" w16cid:durableId="0DCA2344"/>
  <w16cid:commentId w16cid:paraId="6655856E" w16cid:durableId="5F1CD8A0"/>
  <w16cid:commentId w16cid:paraId="79ECAF7D" w16cid:durableId="7DDB1846"/>
  <w16cid:commentId w16cid:paraId="08154925" w16cid:durableId="44822507"/>
  <w16cid:commentId w16cid:paraId="33A3D84C" w16cid:durableId="0137905A"/>
  <w16cid:commentId w16cid:paraId="2FADBCDE" w16cid:durableId="16175775"/>
  <w16cid:commentId w16cid:paraId="373361A6" w16cid:durableId="2A496E07"/>
  <w16cid:commentId w16cid:paraId="4935DE58" w16cid:durableId="126C640E"/>
  <w16cid:commentId w16cid:paraId="329FA2EC" w16cid:durableId="54431F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227C" w14:textId="77777777" w:rsidR="008C311B" w:rsidRDefault="008C311B" w:rsidP="0046277C">
      <w:pPr>
        <w:spacing w:before="0" w:after="0"/>
      </w:pPr>
      <w:r>
        <w:separator/>
      </w:r>
    </w:p>
  </w:endnote>
  <w:endnote w:type="continuationSeparator" w:id="0">
    <w:p w14:paraId="0BB7BC29" w14:textId="77777777" w:rsidR="008C311B" w:rsidRDefault="008C311B" w:rsidP="004627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76AF" w14:textId="726A360D" w:rsidR="00680F35" w:rsidRPr="0046277C" w:rsidRDefault="00680F35">
    <w:pPr>
      <w:pStyle w:val="Zpat"/>
      <w:jc w:val="center"/>
    </w:pPr>
    <w:r>
      <w:t xml:space="preserve">                                                                                                                    </w:t>
    </w:r>
    <w:r w:rsidRPr="0046277C">
      <w:t xml:space="preserve">Stránka </w:t>
    </w:r>
    <w:r w:rsidRPr="0046277C">
      <w:fldChar w:fldCharType="begin"/>
    </w:r>
    <w:r w:rsidRPr="0046277C">
      <w:instrText>PAGE  \* Arabic  \* MERGEFORMAT</w:instrText>
    </w:r>
    <w:r w:rsidRPr="0046277C">
      <w:fldChar w:fldCharType="separate"/>
    </w:r>
    <w:r w:rsidR="0023244C">
      <w:rPr>
        <w:noProof/>
      </w:rPr>
      <w:t>16</w:t>
    </w:r>
    <w:r w:rsidRPr="0046277C">
      <w:fldChar w:fldCharType="end"/>
    </w:r>
    <w:r w:rsidRPr="0046277C">
      <w:t xml:space="preserve"> z </w:t>
    </w:r>
    <w:fldSimple w:instr="NUMPAGES  \* Arabic  \* MERGEFORMAT">
      <w:r w:rsidR="0023244C">
        <w:rPr>
          <w:noProof/>
        </w:rPr>
        <w:t>16</w:t>
      </w:r>
    </w:fldSimple>
  </w:p>
  <w:p w14:paraId="046347CB" w14:textId="77777777" w:rsidR="00680F35" w:rsidRDefault="00680F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59F86" w14:textId="77777777" w:rsidR="008C311B" w:rsidRDefault="008C311B" w:rsidP="0046277C">
      <w:pPr>
        <w:spacing w:before="0" w:after="0"/>
      </w:pPr>
      <w:r>
        <w:separator/>
      </w:r>
    </w:p>
  </w:footnote>
  <w:footnote w:type="continuationSeparator" w:id="0">
    <w:p w14:paraId="637C728C" w14:textId="77777777" w:rsidR="008C311B" w:rsidRDefault="008C311B" w:rsidP="004627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6B42E" w14:textId="56C7040D" w:rsidR="00680F35" w:rsidRPr="0046277C" w:rsidRDefault="00680F35">
    <w:pPr>
      <w:pStyle w:val="Zhlav"/>
      <w:rPr>
        <w:rFonts w:asciiTheme="minorHAnsi" w:hAnsiTheme="minorHAnsi" w:cstheme="minorHAnsi"/>
      </w:rPr>
    </w:pPr>
    <w:r w:rsidRPr="0046277C">
      <w:rPr>
        <w:rFonts w:asciiTheme="minorHAnsi" w:hAnsiTheme="minorHAnsi" w:cstheme="minorHAnsi"/>
      </w:rPr>
      <w:t xml:space="preserve">Příloha č. 1 zadávací dokumentace            </w:t>
    </w:r>
    <w:r>
      <w:rPr>
        <w:rFonts w:asciiTheme="minorHAnsi" w:hAnsiTheme="minorHAnsi" w:cstheme="minorHAnsi"/>
      </w:rPr>
      <w:t xml:space="preserve">    </w:t>
    </w:r>
    <w:r w:rsidRPr="0046277C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     </w:t>
    </w:r>
    <w:r w:rsidRPr="0046277C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              </w:t>
    </w:r>
    <w:r w:rsidRPr="0046277C">
      <w:rPr>
        <w:rFonts w:asciiTheme="minorHAnsi" w:hAnsiTheme="minorHAnsi" w:cstheme="minorHAnsi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402C9"/>
    <w:multiLevelType w:val="hybridMultilevel"/>
    <w:tmpl w:val="111E26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E917243"/>
    <w:multiLevelType w:val="hybridMultilevel"/>
    <w:tmpl w:val="8DECFA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D5CF4"/>
    <w:multiLevelType w:val="hybridMultilevel"/>
    <w:tmpl w:val="823228AA"/>
    <w:lvl w:ilvl="0" w:tplc="AEA6BB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56C6E"/>
    <w:multiLevelType w:val="hybridMultilevel"/>
    <w:tmpl w:val="20629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A5F3D"/>
    <w:multiLevelType w:val="hybridMultilevel"/>
    <w:tmpl w:val="E5544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83629B"/>
    <w:multiLevelType w:val="hybridMultilevel"/>
    <w:tmpl w:val="03122244"/>
    <w:lvl w:ilvl="0" w:tplc="BE9AB2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58"/>
    <w:rsid w:val="00020476"/>
    <w:rsid w:val="00024D5C"/>
    <w:rsid w:val="000309FA"/>
    <w:rsid w:val="00034CC8"/>
    <w:rsid w:val="00037FAF"/>
    <w:rsid w:val="000461AD"/>
    <w:rsid w:val="0004730E"/>
    <w:rsid w:val="00063AD7"/>
    <w:rsid w:val="00071C7B"/>
    <w:rsid w:val="00081C43"/>
    <w:rsid w:val="00084EE1"/>
    <w:rsid w:val="00091EA9"/>
    <w:rsid w:val="000B50E8"/>
    <w:rsid w:val="000C60C3"/>
    <w:rsid w:val="000F1A26"/>
    <w:rsid w:val="000F7ABC"/>
    <w:rsid w:val="00107879"/>
    <w:rsid w:val="00113180"/>
    <w:rsid w:val="00152EB0"/>
    <w:rsid w:val="00191C2B"/>
    <w:rsid w:val="001C6CFF"/>
    <w:rsid w:val="001D029A"/>
    <w:rsid w:val="001D03F7"/>
    <w:rsid w:val="001D67AC"/>
    <w:rsid w:val="00202241"/>
    <w:rsid w:val="002024E8"/>
    <w:rsid w:val="00221B7D"/>
    <w:rsid w:val="0023244C"/>
    <w:rsid w:val="00263398"/>
    <w:rsid w:val="00274BE8"/>
    <w:rsid w:val="00297D40"/>
    <w:rsid w:val="002A334F"/>
    <w:rsid w:val="002A5BA8"/>
    <w:rsid w:val="002B1015"/>
    <w:rsid w:val="002B1EFD"/>
    <w:rsid w:val="002B6A9A"/>
    <w:rsid w:val="002C1BFC"/>
    <w:rsid w:val="002D15EC"/>
    <w:rsid w:val="002D4A77"/>
    <w:rsid w:val="002D4D1A"/>
    <w:rsid w:val="002D6A4B"/>
    <w:rsid w:val="002F1408"/>
    <w:rsid w:val="00307C7B"/>
    <w:rsid w:val="00326FFA"/>
    <w:rsid w:val="00335FC8"/>
    <w:rsid w:val="00355712"/>
    <w:rsid w:val="00362D8E"/>
    <w:rsid w:val="00363DD8"/>
    <w:rsid w:val="003656C8"/>
    <w:rsid w:val="00385144"/>
    <w:rsid w:val="003B3CC2"/>
    <w:rsid w:val="003D4D15"/>
    <w:rsid w:val="003E6EA0"/>
    <w:rsid w:val="003F21F3"/>
    <w:rsid w:val="003F5651"/>
    <w:rsid w:val="003F6195"/>
    <w:rsid w:val="004022B9"/>
    <w:rsid w:val="00402CCB"/>
    <w:rsid w:val="00413D92"/>
    <w:rsid w:val="00426BC7"/>
    <w:rsid w:val="00432C7E"/>
    <w:rsid w:val="004470D5"/>
    <w:rsid w:val="00462102"/>
    <w:rsid w:val="0046277C"/>
    <w:rsid w:val="004638B3"/>
    <w:rsid w:val="0047305E"/>
    <w:rsid w:val="00485012"/>
    <w:rsid w:val="00485E01"/>
    <w:rsid w:val="00491830"/>
    <w:rsid w:val="00497C51"/>
    <w:rsid w:val="004A20E2"/>
    <w:rsid w:val="004A2B45"/>
    <w:rsid w:val="004B3ED0"/>
    <w:rsid w:val="004C04BF"/>
    <w:rsid w:val="005200A4"/>
    <w:rsid w:val="005201A0"/>
    <w:rsid w:val="00525D20"/>
    <w:rsid w:val="00530D4D"/>
    <w:rsid w:val="00540DF6"/>
    <w:rsid w:val="00541EBC"/>
    <w:rsid w:val="0054216C"/>
    <w:rsid w:val="00552234"/>
    <w:rsid w:val="00554BF7"/>
    <w:rsid w:val="0057308F"/>
    <w:rsid w:val="00582E92"/>
    <w:rsid w:val="00597FB5"/>
    <w:rsid w:val="005A0502"/>
    <w:rsid w:val="005A7139"/>
    <w:rsid w:val="005B6988"/>
    <w:rsid w:val="005D0333"/>
    <w:rsid w:val="005D2DB9"/>
    <w:rsid w:val="005E5F62"/>
    <w:rsid w:val="005F1AC4"/>
    <w:rsid w:val="005F4C9E"/>
    <w:rsid w:val="005F7E60"/>
    <w:rsid w:val="00600596"/>
    <w:rsid w:val="00607B95"/>
    <w:rsid w:val="006110B9"/>
    <w:rsid w:val="00623CE6"/>
    <w:rsid w:val="006534C4"/>
    <w:rsid w:val="00665A60"/>
    <w:rsid w:val="0066611C"/>
    <w:rsid w:val="00680F35"/>
    <w:rsid w:val="00682614"/>
    <w:rsid w:val="00690AD4"/>
    <w:rsid w:val="006A13A1"/>
    <w:rsid w:val="006A273F"/>
    <w:rsid w:val="006A7F9A"/>
    <w:rsid w:val="006B3ACF"/>
    <w:rsid w:val="006D25C1"/>
    <w:rsid w:val="006D714A"/>
    <w:rsid w:val="006E4791"/>
    <w:rsid w:val="006E75C5"/>
    <w:rsid w:val="006F0D38"/>
    <w:rsid w:val="00707344"/>
    <w:rsid w:val="00710771"/>
    <w:rsid w:val="00740FBC"/>
    <w:rsid w:val="00751458"/>
    <w:rsid w:val="00770B34"/>
    <w:rsid w:val="00792315"/>
    <w:rsid w:val="00795DD4"/>
    <w:rsid w:val="007A148C"/>
    <w:rsid w:val="007C6BF4"/>
    <w:rsid w:val="0080054C"/>
    <w:rsid w:val="00845AD0"/>
    <w:rsid w:val="00856245"/>
    <w:rsid w:val="00863A59"/>
    <w:rsid w:val="0087385B"/>
    <w:rsid w:val="00881D77"/>
    <w:rsid w:val="008A07D9"/>
    <w:rsid w:val="008A2C26"/>
    <w:rsid w:val="008B25D5"/>
    <w:rsid w:val="008C311B"/>
    <w:rsid w:val="008D25FB"/>
    <w:rsid w:val="008D716B"/>
    <w:rsid w:val="008F2541"/>
    <w:rsid w:val="00950263"/>
    <w:rsid w:val="00967D13"/>
    <w:rsid w:val="009714E2"/>
    <w:rsid w:val="00982833"/>
    <w:rsid w:val="0099060F"/>
    <w:rsid w:val="009B34ED"/>
    <w:rsid w:val="009B432F"/>
    <w:rsid w:val="009B4AF2"/>
    <w:rsid w:val="009C6F0F"/>
    <w:rsid w:val="009D4BC3"/>
    <w:rsid w:val="00A02E53"/>
    <w:rsid w:val="00A17FC5"/>
    <w:rsid w:val="00A22AF1"/>
    <w:rsid w:val="00A24FA0"/>
    <w:rsid w:val="00A3537E"/>
    <w:rsid w:val="00A37E4B"/>
    <w:rsid w:val="00A54E56"/>
    <w:rsid w:val="00A644FA"/>
    <w:rsid w:val="00A6481E"/>
    <w:rsid w:val="00A653D5"/>
    <w:rsid w:val="00A93771"/>
    <w:rsid w:val="00AA7F5F"/>
    <w:rsid w:val="00AB134E"/>
    <w:rsid w:val="00AB5E01"/>
    <w:rsid w:val="00AC5B9A"/>
    <w:rsid w:val="00AD67AE"/>
    <w:rsid w:val="00AE5AE3"/>
    <w:rsid w:val="00AE7250"/>
    <w:rsid w:val="00AF4345"/>
    <w:rsid w:val="00B15779"/>
    <w:rsid w:val="00B30FBD"/>
    <w:rsid w:val="00B36AC5"/>
    <w:rsid w:val="00B407DE"/>
    <w:rsid w:val="00B4311D"/>
    <w:rsid w:val="00B67D66"/>
    <w:rsid w:val="00B74032"/>
    <w:rsid w:val="00B741F5"/>
    <w:rsid w:val="00B93E90"/>
    <w:rsid w:val="00BA4A44"/>
    <w:rsid w:val="00BC33E3"/>
    <w:rsid w:val="00BC3BE2"/>
    <w:rsid w:val="00BC5265"/>
    <w:rsid w:val="00BD6900"/>
    <w:rsid w:val="00BE1119"/>
    <w:rsid w:val="00BF194D"/>
    <w:rsid w:val="00C10907"/>
    <w:rsid w:val="00C34586"/>
    <w:rsid w:val="00C34875"/>
    <w:rsid w:val="00C37401"/>
    <w:rsid w:val="00C42955"/>
    <w:rsid w:val="00C527EE"/>
    <w:rsid w:val="00C54500"/>
    <w:rsid w:val="00C55657"/>
    <w:rsid w:val="00C56F17"/>
    <w:rsid w:val="00C57058"/>
    <w:rsid w:val="00C57D72"/>
    <w:rsid w:val="00C808B3"/>
    <w:rsid w:val="00C932E5"/>
    <w:rsid w:val="00CA041E"/>
    <w:rsid w:val="00CA7EB6"/>
    <w:rsid w:val="00CC1092"/>
    <w:rsid w:val="00CD02A2"/>
    <w:rsid w:val="00CD1FD1"/>
    <w:rsid w:val="00CD54A1"/>
    <w:rsid w:val="00CD7B6A"/>
    <w:rsid w:val="00CE59CF"/>
    <w:rsid w:val="00D0310F"/>
    <w:rsid w:val="00D0390F"/>
    <w:rsid w:val="00D0443D"/>
    <w:rsid w:val="00D117F5"/>
    <w:rsid w:val="00D1222C"/>
    <w:rsid w:val="00D132F6"/>
    <w:rsid w:val="00D1387A"/>
    <w:rsid w:val="00D21152"/>
    <w:rsid w:val="00D61FDD"/>
    <w:rsid w:val="00D663D3"/>
    <w:rsid w:val="00D75EC6"/>
    <w:rsid w:val="00D776F0"/>
    <w:rsid w:val="00D77773"/>
    <w:rsid w:val="00D77C12"/>
    <w:rsid w:val="00D86B2B"/>
    <w:rsid w:val="00D87041"/>
    <w:rsid w:val="00D939D9"/>
    <w:rsid w:val="00D95406"/>
    <w:rsid w:val="00D95DA5"/>
    <w:rsid w:val="00DA35D0"/>
    <w:rsid w:val="00DC0A0B"/>
    <w:rsid w:val="00DE1F37"/>
    <w:rsid w:val="00DF0777"/>
    <w:rsid w:val="00E04521"/>
    <w:rsid w:val="00E558F5"/>
    <w:rsid w:val="00E601BB"/>
    <w:rsid w:val="00E75F4A"/>
    <w:rsid w:val="00E9257C"/>
    <w:rsid w:val="00EA5E5B"/>
    <w:rsid w:val="00EE2F58"/>
    <w:rsid w:val="00EF3CA2"/>
    <w:rsid w:val="00F06A88"/>
    <w:rsid w:val="00F06D42"/>
    <w:rsid w:val="00F1003C"/>
    <w:rsid w:val="00F12A59"/>
    <w:rsid w:val="00F14B60"/>
    <w:rsid w:val="00F15EE2"/>
    <w:rsid w:val="00F270C9"/>
    <w:rsid w:val="00F3699E"/>
    <w:rsid w:val="00F424B0"/>
    <w:rsid w:val="00F7707E"/>
    <w:rsid w:val="00FA2F2B"/>
    <w:rsid w:val="00FA7169"/>
    <w:rsid w:val="00FB2892"/>
    <w:rsid w:val="00FB5BF3"/>
    <w:rsid w:val="00FD21C3"/>
    <w:rsid w:val="00FD4FF1"/>
    <w:rsid w:val="00FE6776"/>
    <w:rsid w:val="00FF1C4B"/>
    <w:rsid w:val="00FF2655"/>
    <w:rsid w:val="00FF369A"/>
    <w:rsid w:val="00FF5479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0978"/>
  <w15:chartTrackingRefBased/>
  <w15:docId w15:val="{ED8F7EC3-B0DE-40F2-B139-E08F95AA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2F58"/>
    <w:pPr>
      <w:spacing w:before="120" w:after="120" w:line="240" w:lineRule="auto"/>
    </w:pPr>
    <w:rPr>
      <w:rFonts w:ascii="Times New Roman" w:hAnsi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2F58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E2F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6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D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D42"/>
    <w:rPr>
      <w:rFonts w:ascii="Times New Roman" w:hAnsi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D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D42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7D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7D9"/>
    <w:rPr>
      <w:rFonts w:ascii="Segoe UI" w:hAnsi="Segoe UI" w:cs="Segoe UI"/>
      <w:kern w:val="0"/>
      <w:sz w:val="18"/>
      <w:szCs w:val="18"/>
      <w14:ligatures w14:val="none"/>
    </w:rPr>
  </w:style>
  <w:style w:type="paragraph" w:styleId="Revize">
    <w:name w:val="Revision"/>
    <w:hidden/>
    <w:uiPriority w:val="99"/>
    <w:semiHidden/>
    <w:rsid w:val="00C42955"/>
    <w:pPr>
      <w:spacing w:after="0" w:line="240" w:lineRule="auto"/>
    </w:pPr>
    <w:rPr>
      <w:rFonts w:ascii="Times New Roman" w:hAnsi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6277C"/>
    <w:rPr>
      <w:rFonts w:ascii="Times New Roman" w:hAnsi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6277C"/>
    <w:rPr>
      <w:rFonts w:ascii="Times New Roman" w:hAnsi="Times New Roman"/>
      <w:kern w:val="0"/>
      <w14:ligatures w14:val="none"/>
    </w:rPr>
  </w:style>
  <w:style w:type="paragraph" w:customStyle="1" w:styleId="s3">
    <w:name w:val="s3"/>
    <w:basedOn w:val="Normln"/>
    <w:rsid w:val="00F06A88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cs-CZ"/>
    </w:rPr>
  </w:style>
  <w:style w:type="character" w:customStyle="1" w:styleId="s4">
    <w:name w:val="s4"/>
    <w:basedOn w:val="Standardnpsmoodstavce"/>
    <w:rsid w:val="00F06A88"/>
  </w:style>
  <w:style w:type="character" w:customStyle="1" w:styleId="apple-converted-space">
    <w:name w:val="apple-converted-space"/>
    <w:basedOn w:val="Standardnpsmoodstavce"/>
    <w:rsid w:val="00F06A88"/>
  </w:style>
  <w:style w:type="paragraph" w:styleId="Bezmezer">
    <w:name w:val="No Spacing"/>
    <w:link w:val="BezmezerChar"/>
    <w:uiPriority w:val="1"/>
    <w:qFormat/>
    <w:rsid w:val="00FE67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mezerChar">
    <w:name w:val="Bez mezer Char"/>
    <w:link w:val="Bezmezer"/>
    <w:uiPriority w:val="1"/>
    <w:rsid w:val="00FE6776"/>
    <w:rPr>
      <w:rFonts w:ascii="Calibri" w:eastAsia="Calibri" w:hAnsi="Calibri" w:cs="Times New Roman"/>
      <w:kern w:val="0"/>
      <w14:ligatures w14:val="non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FE6776"/>
    <w:rPr>
      <w:rFonts w:ascii="Times New Roman" w:hAnsi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0160A-7346-4FD3-8943-19CB145A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3211</Words>
  <Characters>18949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Adamová Jana Ing.</cp:lastModifiedBy>
  <cp:revision>7</cp:revision>
  <dcterms:created xsi:type="dcterms:W3CDTF">2025-11-10T11:42:00Z</dcterms:created>
  <dcterms:modified xsi:type="dcterms:W3CDTF">2025-12-09T14:34:00Z</dcterms:modified>
</cp:coreProperties>
</file>